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6"/>
        <w:jc w:val="center"/>
        <w:rPr>
          <w:b/>
          <w:b/>
          <w:bCs/>
          <w:sz w:val="28"/>
          <w:szCs w:val="28"/>
        </w:rPr>
      </w:pPr>
      <w:r>
        <w:rPr>
          <w:b/>
          <w:bCs/>
          <w:sz w:val="28"/>
          <w:szCs w:val="28"/>
        </w:rPr>
        <w:t xml:space="preserve"> </w:t>
      </w:r>
      <w:r>
        <w:rPr>
          <w:b/>
          <w:bCs/>
          <w:sz w:val="28"/>
          <w:szCs w:val="28"/>
        </w:rPr>
        <w:t>ПОЯСНИТЕЛЬНАЯ ЗАПИСКА</w:t>
      </w:r>
    </w:p>
    <w:p>
      <w:pPr>
        <w:pStyle w:val="Normal"/>
        <w:jc w:val="center"/>
        <w:rPr>
          <w:b/>
          <w:b/>
          <w:sz w:val="28"/>
          <w:szCs w:val="28"/>
        </w:rPr>
      </w:pPr>
      <w:r>
        <w:rPr>
          <w:b/>
          <w:bCs/>
          <w:sz w:val="28"/>
          <w:szCs w:val="28"/>
        </w:rPr>
        <w:t xml:space="preserve">к </w:t>
      </w:r>
      <w:r>
        <w:rPr>
          <w:b/>
          <w:sz w:val="28"/>
          <w:szCs w:val="28"/>
        </w:rPr>
        <w:t>прогнозу социально-экономического развития Брянской области</w:t>
      </w:r>
    </w:p>
    <w:p>
      <w:pPr>
        <w:pStyle w:val="Normal"/>
        <w:jc w:val="center"/>
        <w:rPr>
          <w:b/>
          <w:b/>
          <w:sz w:val="28"/>
          <w:szCs w:val="28"/>
        </w:rPr>
      </w:pPr>
      <w:r>
        <w:rPr>
          <w:b/>
          <w:sz w:val="28"/>
          <w:szCs w:val="28"/>
        </w:rPr>
        <w:t>на 2022 год и на плановый период 2023 и 2024 годов</w:t>
      </w:r>
    </w:p>
    <w:p>
      <w:pPr>
        <w:pStyle w:val="Normal"/>
        <w:jc w:val="center"/>
        <w:rPr>
          <w:b/>
          <w:b/>
          <w:sz w:val="28"/>
          <w:szCs w:val="28"/>
        </w:rPr>
      </w:pPr>
      <w:r>
        <w:rPr>
          <w:b/>
          <w:sz w:val="28"/>
          <w:szCs w:val="28"/>
        </w:rPr>
      </w:r>
    </w:p>
    <w:p>
      <w:pPr>
        <w:pStyle w:val="Normal"/>
        <w:ind w:firstLine="709"/>
        <w:jc w:val="both"/>
        <w:rPr>
          <w:shd w:fill="FFFFFF" w:val="clear"/>
        </w:rPr>
      </w:pPr>
      <w:r>
        <w:rPr>
          <w:bCs/>
          <w:sz w:val="28"/>
          <w:szCs w:val="28"/>
          <w:shd w:fill="FFFFFF" w:val="clear"/>
        </w:rPr>
        <w:t>Базой для разработки прогноза социально-экономического развития Брянской области на 2022 год и на плановый период 2023 и 2024 годов являются основные макроэкономические показатели социально-экономического развития Брянской области за предыдущие годы, итоги за отчетный период 2021 года, сценарные условия развития, основные параметры прогноза социально-экономического развития Российской Федерации на 2022 год и на плановый период 2023 и 2024 годов.</w:t>
      </w:r>
    </w:p>
    <w:p>
      <w:pPr>
        <w:pStyle w:val="Normal"/>
        <w:ind w:firstLine="709"/>
        <w:jc w:val="both"/>
        <w:rPr>
          <w:shd w:fill="FFFFFF" w:val="clear"/>
        </w:rPr>
      </w:pPr>
      <w:r>
        <w:rPr>
          <w:b w:val="false"/>
          <w:bCs w:val="false"/>
          <w:sz w:val="28"/>
          <w:szCs w:val="28"/>
          <w:shd w:fill="FFFFFF" w:val="clear"/>
        </w:rPr>
        <w:t xml:space="preserve">В прогнозе учтены принимаемые меры экономической политики, включая реализацию Общенационального плана действий, обеспечивающих  восстановление занятости и доходов населения, рост экономики и долгосрочные структурные изменения в экономике, а также реализацию  мероприятий государственных программ и региональных проектов Брянской области, направленных на достижение национальных целей развития Российской Федерации, определенных Указом Президента Российской Федерации от 21 июля 2020 года № 474 «О национальных целях развития Российской Федерации на период до 2030 года». </w:t>
      </w:r>
    </w:p>
    <w:p>
      <w:pPr>
        <w:pStyle w:val="BodyText2"/>
        <w:jc w:val="center"/>
        <w:rPr>
          <w:sz w:val="28"/>
          <w:szCs w:val="28"/>
          <w:shd w:fill="FFFFFF" w:val="clear"/>
        </w:rPr>
      </w:pPr>
      <w:r>
        <w:rPr>
          <w:sz w:val="28"/>
          <w:szCs w:val="28"/>
          <w:shd w:fill="FFFFFF" w:val="clear"/>
        </w:rPr>
      </w:r>
    </w:p>
    <w:p>
      <w:pPr>
        <w:pStyle w:val="BodyText2"/>
        <w:jc w:val="center"/>
        <w:rPr>
          <w:shd w:fill="FFFFFF" w:val="clear"/>
        </w:rPr>
      </w:pPr>
      <w:r>
        <w:rPr>
          <w:sz w:val="28"/>
          <w:szCs w:val="28"/>
          <w:shd w:fill="FFFFFF" w:val="clear"/>
        </w:rPr>
        <w:t>Общая оценка социально-экономической ситуации</w:t>
      </w:r>
    </w:p>
    <w:p>
      <w:pPr>
        <w:pStyle w:val="BodyText2"/>
        <w:jc w:val="center"/>
        <w:rPr>
          <w:sz w:val="28"/>
          <w:szCs w:val="28"/>
          <w:shd w:fill="FFFFFF" w:val="clear"/>
        </w:rPr>
      </w:pPr>
      <w:r>
        <w:rPr>
          <w:sz w:val="28"/>
          <w:szCs w:val="28"/>
          <w:shd w:fill="FFFFFF" w:val="clear"/>
        </w:rPr>
      </w:r>
    </w:p>
    <w:p>
      <w:pPr>
        <w:pStyle w:val="Normal"/>
        <w:ind w:firstLine="709"/>
        <w:jc w:val="both"/>
        <w:rPr>
          <w:shd w:fill="FFFFFF" w:val="clear"/>
        </w:rPr>
      </w:pPr>
      <w:r>
        <w:rPr>
          <w:sz w:val="28"/>
          <w:szCs w:val="28"/>
          <w:shd w:fill="FFFFFF" w:val="clear"/>
        </w:rPr>
        <w:t>В январе-</w:t>
      </w:r>
      <w:r>
        <w:rPr>
          <w:rFonts w:eastAsia="Times New Roman" w:cs="Times New Roman"/>
          <w:color w:val="000000"/>
          <w:kern w:val="0"/>
          <w:sz w:val="28"/>
          <w:szCs w:val="28"/>
          <w:shd w:fill="FFFFFF" w:val="clear"/>
          <w:lang w:val="ru-RU" w:eastAsia="ru-RU" w:bidi="ar-SA"/>
        </w:rPr>
        <w:t>сентябре</w:t>
      </w:r>
      <w:r>
        <w:rPr>
          <w:sz w:val="28"/>
          <w:szCs w:val="28"/>
          <w:shd w:fill="FFFFFF" w:val="clear"/>
        </w:rPr>
        <w:t xml:space="preserve"> 2021 года промышленными предприятиями Брянской области отгружено товаров собственного производства в действующих ценах на </w:t>
      </w:r>
      <w:r>
        <w:rPr>
          <w:rFonts w:eastAsia="Times New Roman" w:cs="Times New Roman"/>
          <w:color w:val="000000"/>
          <w:kern w:val="0"/>
          <w:sz w:val="28"/>
          <w:szCs w:val="28"/>
          <w:shd w:fill="FFFFFF" w:val="clear"/>
          <w:lang w:val="ru-RU" w:eastAsia="ru-RU" w:bidi="ar-SA"/>
        </w:rPr>
        <w:t>232,9</w:t>
      </w:r>
      <w:r>
        <w:rPr>
          <w:sz w:val="28"/>
          <w:szCs w:val="28"/>
          <w:shd w:fill="FFFFFF" w:val="clear"/>
        </w:rPr>
        <w:t xml:space="preserve"> млрд. рублей, индекс промышленного производства к уровню соответствующего периода 2020 года составил </w:t>
      </w:r>
      <w:r>
        <w:rPr>
          <w:rFonts w:eastAsia="Times New Roman" w:cs="Times New Roman"/>
          <w:color w:val="000000"/>
          <w:kern w:val="0"/>
          <w:sz w:val="28"/>
          <w:szCs w:val="28"/>
          <w:shd w:fill="FFFFFF" w:val="clear"/>
          <w:lang w:val="ru-RU" w:eastAsia="ru-RU" w:bidi="ar-SA"/>
        </w:rPr>
        <w:t xml:space="preserve">106,9 </w:t>
      </w:r>
      <w:r>
        <w:rPr>
          <w:sz w:val="28"/>
          <w:szCs w:val="28"/>
          <w:shd w:fill="FFFFFF" w:val="clear"/>
        </w:rPr>
        <w:t xml:space="preserve">процента. </w:t>
      </w:r>
    </w:p>
    <w:p>
      <w:pPr>
        <w:pStyle w:val="Normal"/>
        <w:ind w:firstLine="709"/>
        <w:jc w:val="both"/>
        <w:rPr>
          <w:shd w:fill="FFFFFF" w:val="clear"/>
        </w:rPr>
      </w:pPr>
      <w:r>
        <w:rPr>
          <w:sz w:val="28"/>
          <w:szCs w:val="28"/>
          <w:shd w:fill="FFFFFF" w:val="clear"/>
        </w:rPr>
        <w:t xml:space="preserve">Отгружено полезных ископаемых на </w:t>
      </w:r>
      <w:r>
        <w:rPr>
          <w:rFonts w:eastAsia="Times New Roman" w:cs="Times New Roman"/>
          <w:color w:val="000000"/>
          <w:kern w:val="0"/>
          <w:sz w:val="28"/>
          <w:szCs w:val="28"/>
          <w:shd w:fill="FFFFFF" w:val="clear"/>
          <w:lang w:val="ru-RU" w:eastAsia="ru-RU" w:bidi="ar-SA"/>
        </w:rPr>
        <w:t>255,3</w:t>
      </w:r>
      <w:r>
        <w:rPr>
          <w:sz w:val="28"/>
          <w:szCs w:val="28"/>
          <w:shd w:fill="FFFFFF" w:val="clear"/>
        </w:rPr>
        <w:t xml:space="preserve"> млн. рублей, индекс производства по этому виду экономической деятельности составил </w:t>
      </w:r>
      <w:r>
        <w:rPr>
          <w:rFonts w:eastAsia="Times New Roman" w:cs="Times New Roman"/>
          <w:color w:val="000000"/>
          <w:kern w:val="0"/>
          <w:sz w:val="28"/>
          <w:szCs w:val="28"/>
          <w:shd w:fill="FFFFFF" w:val="clear"/>
          <w:lang w:val="ru-RU" w:eastAsia="ru-RU" w:bidi="ar-SA"/>
        </w:rPr>
        <w:t>91,7</w:t>
      </w:r>
      <w:r>
        <w:rPr>
          <w:sz w:val="28"/>
          <w:szCs w:val="28"/>
          <w:shd w:fill="FFFFFF" w:val="clear"/>
        </w:rPr>
        <w:t xml:space="preserve"> процента.</w:t>
      </w:r>
    </w:p>
    <w:p>
      <w:pPr>
        <w:pStyle w:val="Normal"/>
        <w:ind w:firstLine="709"/>
        <w:jc w:val="both"/>
        <w:rPr>
          <w:shd w:fill="FFFFFF" w:val="clear"/>
        </w:rPr>
      </w:pPr>
      <w:r>
        <w:rPr>
          <w:sz w:val="28"/>
          <w:szCs w:val="28"/>
          <w:shd w:fill="FFFFFF" w:val="clear"/>
        </w:rPr>
        <w:t xml:space="preserve">По группе обрабатывающих производств объем отгруженных товаров составил </w:t>
      </w:r>
      <w:r>
        <w:rPr>
          <w:rFonts w:eastAsia="Times New Roman" w:cs="Times New Roman"/>
          <w:color w:val="000000"/>
          <w:kern w:val="0"/>
          <w:sz w:val="28"/>
          <w:szCs w:val="28"/>
          <w:shd w:fill="FFFFFF" w:val="clear"/>
          <w:lang w:val="ru-RU" w:eastAsia="ru-RU" w:bidi="ar-SA"/>
        </w:rPr>
        <w:t>210,0</w:t>
      </w:r>
      <w:r>
        <w:rPr>
          <w:sz w:val="28"/>
          <w:szCs w:val="28"/>
          <w:shd w:fill="FFFFFF" w:val="clear"/>
        </w:rPr>
        <w:t xml:space="preserve"> млрд. рублей, индекс промышленного производства – </w:t>
      </w:r>
      <w:r>
        <w:rPr>
          <w:rFonts w:eastAsia="Times New Roman" w:cs="Times New Roman"/>
          <w:color w:val="000000"/>
          <w:kern w:val="0"/>
          <w:sz w:val="28"/>
          <w:szCs w:val="28"/>
          <w:shd w:fill="FFFFFF" w:val="clear"/>
          <w:lang w:val="ru-RU" w:eastAsia="ru-RU" w:bidi="ar-SA"/>
        </w:rPr>
        <w:t>105,9</w:t>
      </w:r>
      <w:r>
        <w:rPr>
          <w:sz w:val="28"/>
          <w:szCs w:val="28"/>
          <w:shd w:fill="FFFFFF" w:val="clear"/>
        </w:rPr>
        <w:t xml:space="preserve"> процента.</w:t>
      </w:r>
    </w:p>
    <w:p>
      <w:pPr>
        <w:pStyle w:val="Normal"/>
        <w:ind w:left="0" w:right="0" w:firstLine="709"/>
        <w:jc w:val="both"/>
        <w:rPr>
          <w:shd w:fill="FFFFFF" w:val="clear"/>
        </w:rPr>
      </w:pPr>
      <w:r>
        <w:rPr>
          <w:rFonts w:eastAsia="Times New Roman" w:cs="Times New Roman"/>
          <w:i w:val="false"/>
          <w:iCs w:val="false"/>
          <w:color w:val="000000"/>
          <w:sz w:val="28"/>
          <w:szCs w:val="20"/>
          <w:shd w:fill="FFFFFF" w:val="clear"/>
          <w:lang w:val="ru-RU" w:eastAsia="zh-CN" w:bidi="ar-SA"/>
        </w:rPr>
        <w:t>Объем отгруженных товаров собственного производства</w:t>
      </w:r>
      <w:r>
        <w:rPr>
          <w:i w:val="false"/>
          <w:iCs w:val="false"/>
          <w:sz w:val="28"/>
          <w:szCs w:val="28"/>
          <w:shd w:fill="FFFFFF" w:val="clear"/>
        </w:rPr>
        <w:t xml:space="preserve"> обрабатывающих производств на 89</w:t>
      </w:r>
      <w:r>
        <w:rPr>
          <w:rFonts w:eastAsia="Times New Roman" w:cs="Times New Roman"/>
          <w:i w:val="false"/>
          <w:iCs w:val="false"/>
          <w:color w:val="000000"/>
          <w:kern w:val="0"/>
          <w:sz w:val="28"/>
          <w:szCs w:val="20"/>
          <w:shd w:fill="FFFFFF" w:val="clear"/>
          <w:lang w:val="ru-RU" w:eastAsia="zh-CN" w:bidi="ar-SA"/>
        </w:rPr>
        <w:t>,</w:t>
      </w:r>
      <w:r>
        <w:rPr>
          <w:rFonts w:eastAsia="Times New Roman" w:cs="Times New Roman"/>
          <w:i w:val="false"/>
          <w:iCs w:val="false"/>
          <w:color w:val="000000"/>
          <w:kern w:val="0"/>
          <w:sz w:val="28"/>
          <w:szCs w:val="20"/>
          <w:shd w:fill="FFFFFF" w:val="clear"/>
          <w:lang w:val="ru-RU" w:eastAsia="zh-CN" w:bidi="ar-SA"/>
        </w:rPr>
        <w:t>5</w:t>
      </w:r>
      <w:r>
        <w:rPr>
          <w:i w:val="false"/>
          <w:iCs w:val="false"/>
          <w:color w:val="000000"/>
          <w:sz w:val="28"/>
          <w:szCs w:val="28"/>
          <w:shd w:fill="FFFFFF" w:val="clear"/>
        </w:rPr>
        <w:t xml:space="preserve"> пр</w:t>
      </w:r>
      <w:r>
        <w:rPr>
          <w:i w:val="false"/>
          <w:iCs w:val="false"/>
          <w:sz w:val="28"/>
          <w:szCs w:val="28"/>
          <w:shd w:fill="FFFFFF" w:val="clear"/>
        </w:rPr>
        <w:t>оцент</w:t>
      </w:r>
      <w:r>
        <w:rPr>
          <w:i w:val="false"/>
          <w:iCs w:val="false"/>
          <w:sz w:val="28"/>
          <w:szCs w:val="28"/>
          <w:shd w:fill="FFFFFF" w:val="clear"/>
        </w:rPr>
        <w:t>а</w:t>
      </w:r>
      <w:r>
        <w:rPr>
          <w:i w:val="false"/>
          <w:iCs w:val="false"/>
          <w:sz w:val="28"/>
          <w:szCs w:val="28"/>
          <w:shd w:fill="FFFFFF" w:val="clear"/>
        </w:rPr>
        <w:t xml:space="preserve"> формируют предприятия следующих видов деятельности: производство пищевых продуктов (</w:t>
      </w:r>
      <w:r>
        <w:rPr>
          <w:rFonts w:eastAsia="Times New Roman" w:cs="Times New Roman"/>
          <w:i w:val="false"/>
          <w:iCs w:val="false"/>
          <w:color w:val="000000"/>
          <w:kern w:val="0"/>
          <w:sz w:val="28"/>
          <w:szCs w:val="20"/>
          <w:shd w:fill="FFFFFF" w:val="clear"/>
          <w:lang w:val="ru-RU" w:eastAsia="zh-CN" w:bidi="ar-SA"/>
        </w:rPr>
        <w:t>41,</w:t>
      </w:r>
      <w:r>
        <w:rPr>
          <w:rFonts w:eastAsia="Times New Roman" w:cs="Times New Roman"/>
          <w:i w:val="false"/>
          <w:iCs w:val="false"/>
          <w:color w:val="000000"/>
          <w:kern w:val="0"/>
          <w:sz w:val="28"/>
          <w:szCs w:val="20"/>
          <w:shd w:fill="FFFFFF" w:val="clear"/>
          <w:lang w:val="ru-RU" w:eastAsia="zh-CN" w:bidi="ar-SA"/>
        </w:rPr>
        <w:t>7</w:t>
      </w:r>
      <w:r>
        <w:rPr>
          <w:i w:val="false"/>
          <w:iCs w:val="false"/>
          <w:sz w:val="28"/>
          <w:szCs w:val="28"/>
          <w:shd w:fill="FFFFFF" w:val="clear"/>
        </w:rPr>
        <w:t xml:space="preserve"> процента), </w:t>
      </w:r>
      <w:r>
        <w:rPr>
          <w:rFonts w:eastAsia="Times New Roman" w:cs="Times New Roman"/>
          <w:i w:val="false"/>
          <w:iCs w:val="false"/>
          <w:color w:val="000000"/>
          <w:sz w:val="28"/>
          <w:szCs w:val="20"/>
          <w:shd w:fill="FFFFFF" w:val="clear"/>
          <w:lang w:val="ru-RU" w:eastAsia="zh-CN" w:bidi="ar-SA"/>
        </w:rPr>
        <w:t>производство</w:t>
      </w:r>
      <w:r>
        <w:rPr>
          <w:i w:val="false"/>
          <w:iCs w:val="false"/>
          <w:sz w:val="28"/>
          <w:szCs w:val="28"/>
          <w:shd w:fill="FFFFFF" w:val="clear"/>
        </w:rPr>
        <w:t xml:space="preserve"> прочих транспортных средств и оборудования (</w:t>
      </w:r>
      <w:r>
        <w:rPr>
          <w:rFonts w:eastAsia="Times New Roman" w:cs="Times New Roman"/>
          <w:i w:val="false"/>
          <w:iCs w:val="false"/>
          <w:color w:val="000000"/>
          <w:sz w:val="28"/>
          <w:szCs w:val="20"/>
          <w:shd w:fill="FFFFFF" w:val="clear"/>
          <w:lang w:val="ru-RU" w:eastAsia="zh-CN" w:bidi="ar-SA"/>
        </w:rPr>
        <w:t>18,5</w:t>
      </w:r>
      <w:r>
        <w:rPr>
          <w:i w:val="false"/>
          <w:iCs w:val="false"/>
          <w:sz w:val="28"/>
          <w:szCs w:val="28"/>
          <w:shd w:fill="FFFFFF" w:val="clear"/>
        </w:rPr>
        <w:t xml:space="preserve"> процента), производство прочей неметаллической минеральной продукции (</w:t>
      </w:r>
      <w:r>
        <w:rPr>
          <w:rFonts w:eastAsia="Times New Roman" w:cs="Times New Roman"/>
          <w:i w:val="false"/>
          <w:iCs w:val="false"/>
          <w:color w:val="000000"/>
          <w:kern w:val="0"/>
          <w:sz w:val="28"/>
          <w:szCs w:val="20"/>
          <w:shd w:fill="FFFFFF" w:val="clear"/>
          <w:lang w:val="ru-RU" w:eastAsia="zh-CN" w:bidi="ar-SA"/>
        </w:rPr>
        <w:t>5,2</w:t>
      </w:r>
      <w:r>
        <w:rPr>
          <w:i w:val="false"/>
          <w:iCs w:val="false"/>
          <w:sz w:val="28"/>
          <w:szCs w:val="28"/>
          <w:shd w:fill="FFFFFF" w:val="clear"/>
        </w:rPr>
        <w:t xml:space="preserve"> процента), производство бумаги и бумажных изделий (</w:t>
      </w:r>
      <w:r>
        <w:rPr>
          <w:rFonts w:eastAsia="Times New Roman" w:cs="Times New Roman"/>
          <w:i w:val="false"/>
          <w:iCs w:val="false"/>
          <w:color w:val="000000"/>
          <w:sz w:val="28"/>
          <w:szCs w:val="20"/>
          <w:shd w:fill="FFFFFF" w:val="clear"/>
          <w:lang w:val="ru-RU" w:eastAsia="zh-CN" w:bidi="ar-SA"/>
        </w:rPr>
        <w:t>4,8</w:t>
      </w:r>
      <w:r>
        <w:rPr>
          <w:i w:val="false"/>
          <w:iCs w:val="false"/>
          <w:sz w:val="28"/>
          <w:szCs w:val="28"/>
          <w:shd w:fill="FFFFFF" w:val="clear"/>
        </w:rPr>
        <w:t xml:space="preserve"> процента), производство автотранспортных средств, прицепов и полуприцепов (</w:t>
      </w:r>
      <w:r>
        <w:rPr>
          <w:rFonts w:eastAsia="Times New Roman" w:cs="Times New Roman"/>
          <w:i w:val="false"/>
          <w:iCs w:val="false"/>
          <w:color w:val="000000"/>
          <w:sz w:val="28"/>
          <w:szCs w:val="20"/>
          <w:shd w:fill="FFFFFF" w:val="clear"/>
          <w:lang w:val="ru-RU" w:eastAsia="zh-CN" w:bidi="ar-SA"/>
        </w:rPr>
        <w:t>4,5</w:t>
      </w:r>
      <w:r>
        <w:rPr>
          <w:i w:val="false"/>
          <w:iCs w:val="false"/>
          <w:sz w:val="28"/>
          <w:szCs w:val="28"/>
          <w:shd w:fill="FFFFFF" w:val="clear"/>
        </w:rPr>
        <w:t xml:space="preserve"> процента), производство машин и оборудования, не включенных в другие группировки (</w:t>
      </w:r>
      <w:r>
        <w:rPr>
          <w:rFonts w:eastAsia="Times New Roman" w:cs="Times New Roman"/>
          <w:i w:val="false"/>
          <w:iCs w:val="false"/>
          <w:color w:val="000000"/>
          <w:kern w:val="0"/>
          <w:sz w:val="28"/>
          <w:szCs w:val="20"/>
          <w:shd w:fill="FFFFFF" w:val="clear"/>
          <w:lang w:val="ru-RU" w:eastAsia="zh-CN" w:bidi="ar-SA"/>
        </w:rPr>
        <w:t>3,9</w:t>
      </w:r>
      <w:r>
        <w:rPr>
          <w:rFonts w:eastAsia="Times New Roman" w:cs="Times New Roman"/>
          <w:i w:val="false"/>
          <w:iCs w:val="false"/>
          <w:color w:val="000000"/>
          <w:sz w:val="28"/>
          <w:szCs w:val="20"/>
          <w:shd w:fill="FFFFFF" w:val="clear"/>
          <w:lang w:val="ru-RU" w:eastAsia="zh-CN" w:bidi="ar-SA"/>
        </w:rPr>
        <w:t xml:space="preserve"> </w:t>
      </w:r>
      <w:r>
        <w:rPr>
          <w:i w:val="false"/>
          <w:iCs w:val="false"/>
          <w:sz w:val="28"/>
          <w:szCs w:val="28"/>
          <w:shd w:fill="FFFFFF" w:val="clear"/>
        </w:rPr>
        <w:t>процента), производство химических веществ и химических продуктов (</w:t>
      </w:r>
      <w:r>
        <w:rPr>
          <w:rFonts w:eastAsia="Times New Roman" w:cs="Times New Roman"/>
          <w:i w:val="false"/>
          <w:iCs w:val="false"/>
          <w:color w:val="000000"/>
          <w:sz w:val="28"/>
          <w:szCs w:val="20"/>
          <w:shd w:fill="FFFFFF" w:val="clear"/>
          <w:lang w:val="ru-RU" w:eastAsia="zh-CN" w:bidi="ar-SA"/>
        </w:rPr>
        <w:t>3,5</w:t>
      </w:r>
      <w:r>
        <w:rPr>
          <w:i w:val="false"/>
          <w:iCs w:val="false"/>
          <w:sz w:val="28"/>
          <w:szCs w:val="28"/>
          <w:shd w:fill="FFFFFF" w:val="clear"/>
        </w:rPr>
        <w:t xml:space="preserve"> процента), производство резиновых и пластмассовых изделий (</w:t>
      </w:r>
      <w:r>
        <w:rPr>
          <w:rFonts w:eastAsia="Times New Roman" w:cs="Times New Roman"/>
          <w:i w:val="false"/>
          <w:iCs w:val="false"/>
          <w:color w:val="000000"/>
          <w:sz w:val="28"/>
          <w:szCs w:val="20"/>
          <w:shd w:fill="FFFFFF" w:val="clear"/>
          <w:lang w:val="ru-RU" w:eastAsia="zh-CN" w:bidi="ar-SA"/>
        </w:rPr>
        <w:t xml:space="preserve">2,7 </w:t>
      </w:r>
      <w:r>
        <w:rPr>
          <w:i w:val="false"/>
          <w:iCs w:val="false"/>
          <w:sz w:val="28"/>
          <w:szCs w:val="28"/>
          <w:shd w:fill="FFFFFF" w:val="clear"/>
        </w:rPr>
        <w:t>процента), металлургическое производство (2,4 процента), производство готовых металлических изделий, кроме машин и оборудования (</w:t>
      </w:r>
      <w:r>
        <w:rPr>
          <w:rFonts w:eastAsia="Times New Roman" w:cs="Times New Roman"/>
          <w:i w:val="false"/>
          <w:iCs w:val="false"/>
          <w:color w:val="000000"/>
          <w:sz w:val="28"/>
          <w:szCs w:val="20"/>
          <w:shd w:fill="FFFFFF" w:val="clear"/>
          <w:lang w:val="ru-RU" w:eastAsia="zh-CN" w:bidi="ar-SA"/>
        </w:rPr>
        <w:t>2,3</w:t>
      </w:r>
      <w:r>
        <w:rPr>
          <w:i w:val="false"/>
          <w:iCs w:val="false"/>
          <w:sz w:val="28"/>
          <w:szCs w:val="28"/>
          <w:shd w:fill="FFFFFF" w:val="clear"/>
        </w:rPr>
        <w:t xml:space="preserve"> процента).</w:t>
      </w:r>
    </w:p>
    <w:p>
      <w:pPr>
        <w:pStyle w:val="Style22"/>
        <w:ind w:left="0" w:right="0" w:firstLine="708"/>
        <w:rPr>
          <w:shd w:fill="FFFFFF" w:val="clear"/>
        </w:rPr>
      </w:pPr>
      <w:r>
        <w:rPr>
          <w:sz w:val="28"/>
          <w:szCs w:val="28"/>
          <w:shd w:fill="FFFFFF" w:val="clear"/>
        </w:rPr>
        <w:t>На предприятиях по обеспечению электрической энергией, газом и паром; кондиционированию воздуха в январе-</w:t>
      </w:r>
      <w:r>
        <w:rPr>
          <w:rFonts w:eastAsia="Times New Roman" w:cs="Times New Roman"/>
          <w:color w:val="000000"/>
          <w:kern w:val="0"/>
          <w:sz w:val="28"/>
          <w:szCs w:val="28"/>
          <w:shd w:fill="FFFFFF" w:val="clear"/>
          <w:lang w:val="ru-RU" w:eastAsia="ru-RU" w:bidi="ar-SA"/>
        </w:rPr>
        <w:t>сентябре</w:t>
      </w:r>
      <w:r>
        <w:rPr>
          <w:sz w:val="28"/>
          <w:szCs w:val="28"/>
          <w:shd w:fill="FFFFFF" w:val="clear"/>
        </w:rPr>
        <w:t xml:space="preserve"> 2021 года отгружено товаров собственного производства на сумму </w:t>
      </w:r>
      <w:r>
        <w:rPr>
          <w:rFonts w:eastAsia="Times New Roman" w:cs="Times New Roman"/>
          <w:color w:val="000000"/>
          <w:kern w:val="0"/>
          <w:sz w:val="28"/>
          <w:szCs w:val="28"/>
          <w:shd w:fill="FFFFFF" w:val="clear"/>
          <w:lang w:val="ru-RU" w:eastAsia="ru-RU" w:bidi="ar-SA"/>
        </w:rPr>
        <w:t>13,5</w:t>
      </w:r>
      <w:r>
        <w:rPr>
          <w:sz w:val="28"/>
          <w:szCs w:val="28"/>
          <w:shd w:fill="FFFFFF" w:val="clear"/>
        </w:rPr>
        <w:t xml:space="preserve"> млрд. рублей. Индекс промышленного производства составил </w:t>
      </w:r>
      <w:r>
        <w:rPr>
          <w:rFonts w:eastAsia="Times New Roman" w:cs="Times New Roman"/>
          <w:color w:val="000000"/>
          <w:kern w:val="0"/>
          <w:sz w:val="28"/>
          <w:szCs w:val="28"/>
          <w:shd w:fill="FFFFFF" w:val="clear"/>
          <w:lang w:val="ru-RU" w:eastAsia="ru-RU" w:bidi="ar-SA"/>
        </w:rPr>
        <w:t xml:space="preserve">114,8 </w:t>
      </w:r>
      <w:r>
        <w:rPr>
          <w:sz w:val="28"/>
          <w:szCs w:val="28"/>
          <w:shd w:fill="FFFFFF" w:val="clear"/>
        </w:rPr>
        <w:t>процента.</w:t>
      </w:r>
    </w:p>
    <w:p>
      <w:pPr>
        <w:pStyle w:val="Style22"/>
        <w:ind w:left="0" w:right="0" w:firstLine="708"/>
        <w:rPr>
          <w:shd w:fill="FFFFFF" w:val="clear"/>
        </w:rPr>
      </w:pPr>
      <w:r>
        <w:rPr>
          <w:sz w:val="28"/>
          <w:szCs w:val="28"/>
          <w:shd w:fill="FFFFFF" w:val="clear"/>
        </w:rPr>
        <w:t>На предприятиях по обеспечению водоснабжения; водоотведения, организации сбора и утилизации отходов, деятельности по ликвидации загрязнений за январь-</w:t>
      </w:r>
      <w:r>
        <w:rPr>
          <w:rFonts w:eastAsia="Times New Roman" w:cs="Times New Roman"/>
          <w:color w:val="000000"/>
          <w:kern w:val="0"/>
          <w:sz w:val="28"/>
          <w:szCs w:val="28"/>
          <w:shd w:fill="FFFFFF" w:val="clear"/>
          <w:lang w:val="ru-RU" w:eastAsia="ru-RU" w:bidi="ar-SA"/>
        </w:rPr>
        <w:t>сентябрь</w:t>
      </w:r>
      <w:r>
        <w:rPr>
          <w:sz w:val="28"/>
          <w:szCs w:val="28"/>
          <w:shd w:fill="FFFFFF" w:val="clear"/>
        </w:rPr>
        <w:t xml:space="preserve"> 2021 года отгружено товаров собственного производства на сумму </w:t>
      </w:r>
      <w:r>
        <w:rPr>
          <w:rFonts w:eastAsia="Times New Roman" w:cs="Times New Roman"/>
          <w:color w:val="000000"/>
          <w:kern w:val="0"/>
          <w:sz w:val="28"/>
          <w:szCs w:val="28"/>
          <w:shd w:fill="FFFFFF" w:val="clear"/>
          <w:lang w:val="ru-RU" w:eastAsia="ru-RU" w:bidi="ar-SA"/>
        </w:rPr>
        <w:t>9,1</w:t>
      </w:r>
      <w:r>
        <w:rPr>
          <w:sz w:val="28"/>
          <w:szCs w:val="28"/>
          <w:shd w:fill="FFFFFF" w:val="clear"/>
        </w:rPr>
        <w:t xml:space="preserve"> млрд. рублей. Индекс промышленного производства составил </w:t>
      </w:r>
      <w:r>
        <w:rPr>
          <w:rFonts w:eastAsia="Times New Roman" w:cs="Times New Roman"/>
          <w:color w:val="000000"/>
          <w:kern w:val="0"/>
          <w:sz w:val="28"/>
          <w:szCs w:val="28"/>
          <w:shd w:fill="FFFFFF" w:val="clear"/>
          <w:lang w:val="ru-RU" w:eastAsia="ru-RU" w:bidi="ar-SA"/>
        </w:rPr>
        <w:t>128,4</w:t>
      </w:r>
      <w:r>
        <w:rPr>
          <w:sz w:val="28"/>
          <w:szCs w:val="28"/>
          <w:shd w:fill="FFFFFF" w:val="clear"/>
        </w:rPr>
        <w:t xml:space="preserve"> процента.</w:t>
      </w:r>
    </w:p>
    <w:p>
      <w:pPr>
        <w:pStyle w:val="Normal"/>
        <w:ind w:firstLine="709"/>
        <w:jc w:val="both"/>
        <w:rPr>
          <w:shd w:fill="FFFFFF" w:val="clear"/>
        </w:rPr>
      </w:pPr>
      <w:r>
        <w:rPr>
          <w:sz w:val="28"/>
          <w:szCs w:val="28"/>
          <w:shd w:fill="FFFFFF" w:val="clear"/>
        </w:rPr>
        <w:t>В январе-</w:t>
      </w:r>
      <w:r>
        <w:rPr>
          <w:rFonts w:eastAsia="Times New Roman" w:cs="Times New Roman"/>
          <w:color w:val="000000"/>
          <w:kern w:val="0"/>
          <w:sz w:val="28"/>
          <w:szCs w:val="28"/>
          <w:shd w:fill="FFFFFF" w:val="clear"/>
          <w:lang w:val="ru-RU" w:eastAsia="ru-RU" w:bidi="ar-SA"/>
        </w:rPr>
        <w:t>сентябре</w:t>
      </w:r>
      <w:r>
        <w:rPr>
          <w:sz w:val="28"/>
          <w:szCs w:val="28"/>
          <w:shd w:fill="FFFFFF" w:val="clear"/>
        </w:rPr>
        <w:t xml:space="preserve"> 2021 года произведено продукции сельского хозяйства во всех категориях хозяйств в объеме </w:t>
      </w:r>
      <w:r>
        <w:rPr>
          <w:rFonts w:eastAsia="Times New Roman" w:cs="Times New Roman"/>
          <w:color w:val="000000"/>
          <w:kern w:val="0"/>
          <w:sz w:val="28"/>
          <w:szCs w:val="28"/>
          <w:shd w:fill="FFFFFF" w:val="clear"/>
          <w:lang w:val="ru-RU" w:eastAsia="ru-RU" w:bidi="ar-SA"/>
        </w:rPr>
        <w:t>90,6</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97,3</w:t>
      </w:r>
      <w:r>
        <w:rPr>
          <w:sz w:val="28"/>
          <w:szCs w:val="28"/>
          <w:shd w:fill="FFFFFF" w:val="clear"/>
        </w:rPr>
        <w:t xml:space="preserve"> процента к соответствующему периоду 2020 года.</w:t>
      </w:r>
    </w:p>
    <w:p>
      <w:pPr>
        <w:pStyle w:val="Normal"/>
        <w:ind w:firstLine="709"/>
        <w:jc w:val="both"/>
        <w:rPr>
          <w:shd w:fill="FFFFFF" w:val="clear"/>
        </w:rPr>
      </w:pPr>
      <w:r>
        <w:rPr>
          <w:sz w:val="28"/>
          <w:szCs w:val="28"/>
          <w:shd w:fill="FFFFFF" w:val="clear"/>
        </w:rPr>
        <w:t xml:space="preserve">Сельхозтоваропроизводителями всех форм собственности произведено мяса (в живом весе) </w:t>
      </w:r>
      <w:r>
        <w:rPr>
          <w:rFonts w:eastAsia="Times New Roman" w:cs="Times New Roman"/>
          <w:color w:val="000000"/>
          <w:kern w:val="0"/>
          <w:sz w:val="28"/>
          <w:szCs w:val="28"/>
          <w:shd w:fill="FFFFFF" w:val="clear"/>
          <w:lang w:val="ru-RU" w:eastAsia="ru-RU" w:bidi="ar-SA"/>
        </w:rPr>
        <w:t>341,9</w:t>
      </w:r>
      <w:r>
        <w:rPr>
          <w:sz w:val="28"/>
          <w:szCs w:val="28"/>
          <w:shd w:fill="FFFFFF" w:val="clear"/>
        </w:rPr>
        <w:t xml:space="preserve"> тыс. тонн, что составило </w:t>
      </w:r>
      <w:r>
        <w:rPr>
          <w:rFonts w:eastAsia="Times New Roman" w:cs="Times New Roman"/>
          <w:color w:val="000000"/>
          <w:kern w:val="0"/>
          <w:sz w:val="28"/>
          <w:szCs w:val="28"/>
          <w:shd w:fill="FFFFFF" w:val="clear"/>
          <w:lang w:val="ru-RU" w:eastAsia="ru-RU" w:bidi="ar-SA"/>
        </w:rPr>
        <w:t xml:space="preserve">104,0 </w:t>
      </w:r>
      <w:r>
        <w:rPr>
          <w:sz w:val="28"/>
          <w:szCs w:val="28"/>
          <w:shd w:fill="FFFFFF" w:val="clear"/>
        </w:rPr>
        <w:t>процента к уровню января-</w:t>
      </w:r>
      <w:r>
        <w:rPr>
          <w:rFonts w:eastAsia="Times New Roman" w:cs="Times New Roman"/>
          <w:color w:val="000000"/>
          <w:kern w:val="0"/>
          <w:sz w:val="28"/>
          <w:szCs w:val="28"/>
          <w:shd w:fill="FFFFFF" w:val="clear"/>
          <w:lang w:val="ru-RU" w:eastAsia="ru-RU" w:bidi="ar-SA"/>
        </w:rPr>
        <w:t>сентября</w:t>
      </w:r>
      <w:r>
        <w:rPr>
          <w:sz w:val="28"/>
          <w:szCs w:val="28"/>
          <w:shd w:fill="FFFFFF" w:val="clear"/>
        </w:rPr>
        <w:t xml:space="preserve"> 2020 года, молока – </w:t>
      </w:r>
      <w:r>
        <w:rPr>
          <w:rFonts w:eastAsia="Times New Roman" w:cs="Times New Roman"/>
          <w:color w:val="000000"/>
          <w:kern w:val="0"/>
          <w:sz w:val="28"/>
          <w:szCs w:val="28"/>
          <w:shd w:fill="FFFFFF" w:val="clear"/>
          <w:lang w:val="ru-RU" w:eastAsia="ru-RU" w:bidi="ar-SA"/>
        </w:rPr>
        <w:t>228,0</w:t>
      </w:r>
      <w:r>
        <w:rPr>
          <w:sz w:val="28"/>
          <w:szCs w:val="28"/>
          <w:shd w:fill="FFFFFF" w:val="clear"/>
        </w:rPr>
        <w:t xml:space="preserve"> тыс. тонн (</w:t>
      </w:r>
      <w:r>
        <w:rPr>
          <w:rFonts w:eastAsia="Times New Roman" w:cs="Times New Roman"/>
          <w:color w:val="000000"/>
          <w:kern w:val="0"/>
          <w:sz w:val="28"/>
          <w:szCs w:val="28"/>
          <w:shd w:fill="FFFFFF" w:val="clear"/>
          <w:lang w:val="ru-RU" w:eastAsia="ru-RU" w:bidi="ar-SA"/>
        </w:rPr>
        <w:t>96,0</w:t>
      </w:r>
      <w:r>
        <w:rPr>
          <w:sz w:val="28"/>
          <w:szCs w:val="28"/>
          <w:shd w:fill="FFFFFF" w:val="clear"/>
        </w:rPr>
        <w:t xml:space="preserve"> процентов). </w:t>
      </w:r>
    </w:p>
    <w:p>
      <w:pPr>
        <w:pStyle w:val="Normal"/>
        <w:ind w:firstLine="709"/>
        <w:jc w:val="both"/>
        <w:rPr>
          <w:shd w:fill="FFFFFF" w:val="clear"/>
        </w:rPr>
      </w:pPr>
      <w:r>
        <w:rPr>
          <w:sz w:val="28"/>
          <w:szCs w:val="28"/>
          <w:shd w:fill="FFFFFF" w:val="clear"/>
        </w:rPr>
        <w:t>Объем работ, выполненных по виду деятельности «строительство», в январе-</w:t>
      </w:r>
      <w:r>
        <w:rPr>
          <w:rFonts w:eastAsia="Times New Roman" w:cs="Times New Roman"/>
          <w:color w:val="000000"/>
          <w:kern w:val="0"/>
          <w:sz w:val="28"/>
          <w:szCs w:val="28"/>
          <w:shd w:fill="FFFFFF" w:val="clear"/>
          <w:lang w:val="ru-RU" w:eastAsia="ru-RU" w:bidi="ar-SA"/>
        </w:rPr>
        <w:t>сентябре</w:t>
      </w:r>
      <w:r>
        <w:rPr>
          <w:sz w:val="28"/>
          <w:szCs w:val="28"/>
          <w:shd w:fill="FFFFFF" w:val="clear"/>
        </w:rPr>
        <w:t xml:space="preserve"> 2021 года составил </w:t>
      </w:r>
      <w:r>
        <w:rPr>
          <w:rFonts w:eastAsia="Times New Roman" w:cs="Times New Roman"/>
          <w:color w:val="000000"/>
          <w:kern w:val="0"/>
          <w:sz w:val="28"/>
          <w:szCs w:val="28"/>
          <w:shd w:fill="FFFFFF" w:val="clear"/>
          <w:lang w:val="ru-RU" w:eastAsia="ru-RU" w:bidi="ar-SA"/>
        </w:rPr>
        <w:t>37,3</w:t>
      </w:r>
      <w:r>
        <w:rPr>
          <w:sz w:val="28"/>
          <w:szCs w:val="28"/>
          <w:shd w:fill="FFFFFF" w:val="clear"/>
        </w:rPr>
        <w:t xml:space="preserve"> млрд. рублей, что </w:t>
      </w:r>
      <w:r>
        <w:rPr>
          <w:rFonts w:eastAsia="Times New Roman" w:cs="Times New Roman"/>
          <w:color w:val="000000"/>
          <w:kern w:val="0"/>
          <w:sz w:val="28"/>
          <w:szCs w:val="28"/>
          <w:shd w:fill="FFFFFF" w:val="clear"/>
          <w:lang w:val="ru-RU" w:eastAsia="ru-RU" w:bidi="ar-SA"/>
        </w:rPr>
        <w:t>на 18,5 процента</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больше</w:t>
      </w:r>
      <w:r>
        <w:rPr>
          <w:sz w:val="28"/>
          <w:szCs w:val="28"/>
          <w:shd w:fill="FFFFFF" w:val="clear"/>
        </w:rPr>
        <w:t xml:space="preserve"> соответствующего периода 2020 года. Введено в эксплуатацию </w:t>
      </w:r>
      <w:r>
        <w:rPr>
          <w:rFonts w:eastAsia="Times New Roman" w:cs="Times New Roman"/>
          <w:color w:val="000000"/>
          <w:kern w:val="0"/>
          <w:sz w:val="28"/>
          <w:szCs w:val="28"/>
          <w:shd w:fill="FFFFFF" w:val="clear"/>
          <w:lang w:val="ru-RU" w:eastAsia="ru-RU" w:bidi="ar-SA"/>
        </w:rPr>
        <w:t>352,2</w:t>
      </w:r>
      <w:r>
        <w:rPr>
          <w:sz w:val="28"/>
          <w:szCs w:val="28"/>
          <w:shd w:fill="FFFFFF" w:val="clear"/>
        </w:rPr>
        <w:t xml:space="preserve"> тыс. кв. метров общей площади жилых домов или </w:t>
      </w:r>
      <w:r>
        <w:rPr>
          <w:rFonts w:eastAsia="Times New Roman" w:cs="Times New Roman"/>
          <w:color w:val="000000"/>
          <w:kern w:val="0"/>
          <w:sz w:val="28"/>
          <w:szCs w:val="28"/>
          <w:shd w:fill="FFFFFF" w:val="clear"/>
          <w:lang w:val="ru-RU" w:eastAsia="ru-RU" w:bidi="ar-SA"/>
        </w:rPr>
        <w:t>142,5</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к январю-сентябрю</w:t>
      </w:r>
      <w:r>
        <w:rPr>
          <w:sz w:val="28"/>
          <w:szCs w:val="28"/>
          <w:shd w:fill="FFFFFF" w:val="clear"/>
        </w:rPr>
        <w:t xml:space="preserve"> 2020 года.</w:t>
      </w:r>
    </w:p>
    <w:p>
      <w:pPr>
        <w:pStyle w:val="Normal"/>
        <w:ind w:firstLine="708"/>
        <w:jc w:val="both"/>
        <w:rPr>
          <w:shd w:fill="FFFFFF" w:val="clear"/>
        </w:rPr>
      </w:pPr>
      <w:r>
        <w:rPr>
          <w:sz w:val="28"/>
          <w:szCs w:val="28"/>
          <w:shd w:fill="FFFFFF" w:val="clear"/>
        </w:rPr>
        <w:t>В январе-</w:t>
      </w:r>
      <w:r>
        <w:rPr>
          <w:rFonts w:eastAsia="Times New Roman" w:cs="Times New Roman"/>
          <w:color w:val="000000"/>
          <w:kern w:val="0"/>
          <w:sz w:val="28"/>
          <w:szCs w:val="28"/>
          <w:shd w:fill="FFFFFF" w:val="clear"/>
          <w:lang w:val="ru-RU" w:eastAsia="ru-RU" w:bidi="ar-SA"/>
        </w:rPr>
        <w:t>августе</w:t>
      </w:r>
      <w:r>
        <w:rPr>
          <w:sz w:val="28"/>
          <w:szCs w:val="28"/>
          <w:shd w:fill="FFFFFF" w:val="clear"/>
        </w:rPr>
        <w:t xml:space="preserve"> 2021 года организациями Брянской области (кроме субъектов малого предпринимательства, кредитных организаций,  государственных (муниципальных) учреждений, некредитных финансовых организаций) получен положительный сальдированный финансовый результат в сумме </w:t>
      </w:r>
      <w:r>
        <w:rPr>
          <w:rFonts w:eastAsia="Times New Roman" w:cs="Times New Roman"/>
          <w:color w:val="000000"/>
          <w:kern w:val="0"/>
          <w:sz w:val="28"/>
          <w:szCs w:val="28"/>
          <w:shd w:fill="FFFFFF" w:val="clear"/>
          <w:lang w:val="ru-RU" w:eastAsia="ru-RU" w:bidi="ar-SA"/>
        </w:rPr>
        <w:t>23,0 млрд</w:t>
      </w:r>
      <w:r>
        <w:rPr>
          <w:sz w:val="28"/>
          <w:szCs w:val="28"/>
          <w:shd w:fill="FFFFFF" w:val="clear"/>
        </w:rPr>
        <w:t>. рублей прибыли (за январь-</w:t>
      </w:r>
      <w:r>
        <w:rPr>
          <w:rFonts w:eastAsia="Times New Roman" w:cs="Times New Roman"/>
          <w:color w:val="000000"/>
          <w:kern w:val="0"/>
          <w:sz w:val="28"/>
          <w:szCs w:val="28"/>
          <w:shd w:fill="FFFFFF" w:val="clear"/>
          <w:lang w:val="ru-RU" w:eastAsia="ru-RU" w:bidi="ar-SA"/>
        </w:rPr>
        <w:t>август</w:t>
      </w:r>
      <w:r>
        <w:rPr>
          <w:sz w:val="28"/>
          <w:szCs w:val="28"/>
          <w:shd w:fill="FFFFFF" w:val="clear"/>
        </w:rPr>
        <w:t xml:space="preserve"> 2020 года по сопоставимому кругу предприятий </w:t>
      </w:r>
      <w:r>
        <w:rPr>
          <w:rFonts w:eastAsia="Times New Roman" w:cs="Times New Roman"/>
          <w:color w:val="000000"/>
          <w:kern w:val="0"/>
          <w:sz w:val="28"/>
          <w:szCs w:val="28"/>
          <w:shd w:fill="FFFFFF" w:val="clear"/>
          <w:lang w:val="ru-RU" w:eastAsia="ru-RU" w:bidi="ar-SA"/>
        </w:rPr>
        <w:t>положительный сальдированный финансовый результат</w:t>
      </w:r>
      <w:r>
        <w:rPr>
          <w:sz w:val="28"/>
          <w:szCs w:val="28"/>
          <w:shd w:fill="FFFFFF" w:val="clear"/>
        </w:rPr>
        <w:t xml:space="preserve"> составил </w:t>
      </w:r>
      <w:r>
        <w:rPr>
          <w:rFonts w:eastAsia="Times New Roman" w:cs="Times New Roman"/>
          <w:color w:val="000000"/>
          <w:kern w:val="0"/>
          <w:sz w:val="28"/>
          <w:szCs w:val="28"/>
          <w:shd w:fill="FFFFFF" w:val="clear"/>
          <w:lang w:val="ru-RU" w:eastAsia="ru-RU" w:bidi="ar-SA"/>
        </w:rPr>
        <w:t>11,0 млрд</w:t>
      </w:r>
      <w:r>
        <w:rPr>
          <w:sz w:val="28"/>
          <w:szCs w:val="28"/>
          <w:shd w:fill="FFFFFF" w:val="clear"/>
        </w:rPr>
        <w:t xml:space="preserve">. рублей). </w:t>
      </w:r>
    </w:p>
    <w:p>
      <w:pPr>
        <w:pStyle w:val="Style16"/>
        <w:ind w:firstLine="709"/>
        <w:rPr>
          <w:shd w:fill="FFFFFF" w:val="clear"/>
        </w:rPr>
      </w:pPr>
      <w:r>
        <w:rPr>
          <w:sz w:val="28"/>
          <w:szCs w:val="28"/>
          <w:shd w:fill="FFFFFF" w:val="clear"/>
        </w:rPr>
        <w:t>Удельный вес убыточных предприятий в целом по области в январе-</w:t>
      </w:r>
      <w:r>
        <w:rPr>
          <w:rFonts w:eastAsia="Times New Roman" w:cs="Times New Roman"/>
          <w:color w:val="000000"/>
          <w:kern w:val="0"/>
          <w:sz w:val="28"/>
          <w:szCs w:val="28"/>
          <w:shd w:fill="FFFFFF" w:val="clear"/>
          <w:lang w:val="ru-RU" w:eastAsia="ru-RU" w:bidi="ar-SA"/>
        </w:rPr>
        <w:t>августе</w:t>
      </w:r>
      <w:r>
        <w:rPr>
          <w:sz w:val="28"/>
          <w:szCs w:val="28"/>
          <w:shd w:fill="FFFFFF" w:val="clear"/>
        </w:rPr>
        <w:t xml:space="preserve"> 2021 года составил </w:t>
      </w:r>
      <w:r>
        <w:rPr>
          <w:rFonts w:eastAsia="Times New Roman" w:cs="Times New Roman"/>
          <w:color w:val="000000"/>
          <w:kern w:val="0"/>
          <w:sz w:val="28"/>
          <w:szCs w:val="28"/>
          <w:shd w:fill="FFFFFF" w:val="clear"/>
          <w:lang w:val="ru-RU" w:eastAsia="ru-RU" w:bidi="ar-SA"/>
        </w:rPr>
        <w:t>29,4</w:t>
      </w:r>
      <w:r>
        <w:rPr>
          <w:sz w:val="28"/>
          <w:szCs w:val="28"/>
          <w:shd w:fill="FFFFFF" w:val="clear"/>
        </w:rPr>
        <w:t xml:space="preserve"> процента, уменьшившись по сравнению с январем-</w:t>
      </w:r>
      <w:r>
        <w:rPr>
          <w:rFonts w:eastAsia="Times New Roman" w:cs="Times New Roman"/>
          <w:color w:val="000000"/>
          <w:kern w:val="0"/>
          <w:sz w:val="28"/>
          <w:szCs w:val="28"/>
          <w:shd w:fill="FFFFFF" w:val="clear"/>
          <w:lang w:val="ru-RU" w:eastAsia="ru-RU" w:bidi="ar-SA"/>
        </w:rPr>
        <w:t>августом</w:t>
      </w:r>
      <w:r>
        <w:rPr>
          <w:sz w:val="28"/>
          <w:szCs w:val="28"/>
          <w:shd w:fill="FFFFFF" w:val="clear"/>
        </w:rPr>
        <w:t xml:space="preserve"> 2020 года на 5,8 процентных пункта. </w:t>
      </w:r>
    </w:p>
    <w:p>
      <w:pPr>
        <w:pStyle w:val="22"/>
        <w:ind w:left="0" w:right="0" w:firstLine="709"/>
        <w:jc w:val="both"/>
        <w:rPr>
          <w:shd w:fill="FFFFFF" w:val="clear"/>
        </w:rPr>
      </w:pPr>
      <w:r>
        <w:rPr>
          <w:b w:val="false"/>
          <w:bCs w:val="false"/>
          <w:sz w:val="28"/>
          <w:shd w:fill="FFFFFF" w:val="clear"/>
        </w:rPr>
        <w:t xml:space="preserve">Оборот розничной торговли за январь-сентябрь 2021 года составил </w:t>
      </w:r>
      <w:r>
        <w:rPr>
          <w:rFonts w:eastAsia="Times New Roman" w:cs="Times New Roman"/>
          <w:b w:val="false"/>
          <w:bCs w:val="false"/>
          <w:color w:val="000000"/>
          <w:kern w:val="0"/>
          <w:sz w:val="28"/>
          <w:szCs w:val="24"/>
          <w:shd w:fill="FFFFFF" w:val="clear"/>
          <w:lang w:val="ru-RU" w:eastAsia="zh-CN" w:bidi="ar-SA"/>
        </w:rPr>
        <w:t>215,8</w:t>
      </w:r>
      <w:r>
        <w:rPr>
          <w:b w:val="false"/>
          <w:bCs w:val="false"/>
          <w:sz w:val="28"/>
          <w:shd w:fill="FFFFFF" w:val="clear"/>
        </w:rPr>
        <w:t xml:space="preserve"> млрд. рублей, что на </w:t>
      </w:r>
      <w:r>
        <w:rPr>
          <w:rFonts w:eastAsia="Times New Roman" w:cs="Times New Roman"/>
          <w:b w:val="false"/>
          <w:bCs w:val="false"/>
          <w:color w:val="000000"/>
          <w:kern w:val="0"/>
          <w:sz w:val="28"/>
          <w:szCs w:val="24"/>
          <w:shd w:fill="FFFFFF" w:val="clear"/>
          <w:lang w:val="ru-RU" w:eastAsia="zh-CN" w:bidi="ar-SA"/>
        </w:rPr>
        <w:t>9,2</w:t>
      </w:r>
      <w:r>
        <w:rPr>
          <w:rFonts w:eastAsia="Times New Roman" w:cs="Times New Roman"/>
          <w:b w:val="false"/>
          <w:bCs w:val="false"/>
          <w:color w:val="000000"/>
          <w:sz w:val="28"/>
          <w:szCs w:val="24"/>
          <w:shd w:fill="FFFFFF" w:val="clear"/>
          <w:lang w:val="ru-RU" w:eastAsia="zh-CN" w:bidi="ar-SA"/>
        </w:rPr>
        <w:t xml:space="preserve"> </w:t>
      </w:r>
      <w:r>
        <w:rPr>
          <w:b w:val="false"/>
          <w:bCs w:val="false"/>
          <w:sz w:val="28"/>
          <w:shd w:fill="FFFFFF" w:val="clear"/>
        </w:rPr>
        <w:t>процента больше, чем за январь-</w:t>
      </w:r>
      <w:r>
        <w:rPr>
          <w:rFonts w:eastAsia="Times New Roman" w:cs="Times New Roman"/>
          <w:b w:val="false"/>
          <w:bCs w:val="false"/>
          <w:color w:val="000000"/>
          <w:sz w:val="28"/>
          <w:szCs w:val="24"/>
          <w:shd w:fill="FFFFFF" w:val="clear"/>
          <w:lang w:val="ru-RU" w:eastAsia="zh-CN" w:bidi="ar-SA"/>
        </w:rPr>
        <w:t>сентябрь</w:t>
      </w:r>
      <w:r>
        <w:rPr>
          <w:b w:val="false"/>
          <w:bCs w:val="false"/>
          <w:sz w:val="28"/>
          <w:shd w:fill="FFFFFF" w:val="clear"/>
        </w:rPr>
        <w:t xml:space="preserve"> 2020 года в сопоставимых ценах. </w:t>
      </w:r>
    </w:p>
    <w:p>
      <w:pPr>
        <w:pStyle w:val="Normal"/>
        <w:ind w:firstLine="708"/>
        <w:jc w:val="both"/>
        <w:rPr>
          <w:shd w:fill="FFFFFF" w:val="clear"/>
        </w:rPr>
      </w:pPr>
      <w:r>
        <w:rPr>
          <w:sz w:val="28"/>
          <w:szCs w:val="28"/>
          <w:shd w:fill="FFFFFF" w:val="clear"/>
        </w:rPr>
        <w:t xml:space="preserve">Численность не занятых трудовой деятельностью граждан, состоящих на учете в органах государственной службы занятости, на 1 </w:t>
      </w:r>
      <w:r>
        <w:rPr>
          <w:rFonts w:eastAsia="Times New Roman" w:cs="Times New Roman"/>
          <w:color w:val="000000"/>
          <w:kern w:val="0"/>
          <w:sz w:val="28"/>
          <w:szCs w:val="28"/>
          <w:shd w:fill="FFFFFF" w:val="clear"/>
          <w:lang w:val="ru-RU" w:eastAsia="ru-RU" w:bidi="ar-SA"/>
        </w:rPr>
        <w:t>октября</w:t>
      </w:r>
      <w:r>
        <w:rPr>
          <w:sz w:val="28"/>
          <w:szCs w:val="28"/>
          <w:shd w:fill="FFFFFF" w:val="clear"/>
        </w:rPr>
        <w:t xml:space="preserve"> 2021 года составила </w:t>
      </w:r>
      <w:r>
        <w:rPr>
          <w:rFonts w:eastAsia="Times New Roman" w:cs="Times New Roman"/>
          <w:color w:val="000000"/>
          <w:kern w:val="0"/>
          <w:sz w:val="28"/>
          <w:szCs w:val="28"/>
          <w:shd w:fill="FFFFFF" w:val="clear"/>
          <w:lang w:val="ru-RU" w:eastAsia="ru-RU" w:bidi="ar-SA"/>
        </w:rPr>
        <w:t>6016</w:t>
      </w:r>
      <w:r>
        <w:rPr>
          <w:sz w:val="28"/>
          <w:szCs w:val="28"/>
          <w:shd w:fill="FFFFFF" w:val="clear"/>
        </w:rPr>
        <w:t xml:space="preserve"> человек. При этом численность официально зарегистрированных безработных составила </w:t>
      </w:r>
      <w:r>
        <w:rPr>
          <w:rFonts w:eastAsia="Times New Roman" w:cs="Times New Roman"/>
          <w:color w:val="000000"/>
          <w:kern w:val="0"/>
          <w:sz w:val="28"/>
          <w:szCs w:val="28"/>
          <w:shd w:fill="FFFFFF" w:val="clear"/>
          <w:lang w:val="ru-RU" w:eastAsia="ru-RU" w:bidi="ar-SA"/>
        </w:rPr>
        <w:t>512</w:t>
      </w:r>
      <w:r>
        <w:rPr>
          <w:rFonts w:eastAsia="Times New Roman" w:cs="Times New Roman"/>
          <w:color w:val="000000"/>
          <w:kern w:val="0"/>
          <w:sz w:val="28"/>
          <w:szCs w:val="28"/>
          <w:shd w:fill="FFFFFF" w:val="clear"/>
          <w:lang w:val="ru-RU" w:eastAsia="ru-RU" w:bidi="ar-SA"/>
        </w:rPr>
        <w:t>0</w:t>
      </w:r>
      <w:r>
        <w:rPr>
          <w:sz w:val="28"/>
          <w:szCs w:val="28"/>
          <w:shd w:fill="FFFFFF" w:val="clear"/>
        </w:rPr>
        <w:t xml:space="preserve"> человек (на 1 января 2021 года – </w:t>
      </w:r>
      <w:r>
        <w:rPr>
          <w:rFonts w:eastAsia="Times New Roman" w:cs="Times New Roman"/>
          <w:color w:val="000000"/>
          <w:kern w:val="0"/>
          <w:sz w:val="28"/>
          <w:szCs w:val="28"/>
          <w:shd w:fill="FFFFFF" w:val="clear"/>
          <w:lang w:val="ru-RU" w:eastAsia="ru-RU" w:bidi="ar-SA"/>
        </w:rPr>
        <w:t>12</w:t>
      </w:r>
      <w:r>
        <w:rPr>
          <w:rFonts w:eastAsia="Times New Roman" w:cs="Times New Roman"/>
          <w:color w:val="000000"/>
          <w:kern w:val="0"/>
          <w:sz w:val="28"/>
          <w:szCs w:val="28"/>
          <w:shd w:fill="FFFFFF" w:val="clear"/>
          <w:lang w:val="ru-RU" w:eastAsia="ru-RU" w:bidi="ar-SA"/>
        </w:rPr>
        <w:t>787</w:t>
      </w:r>
      <w:r>
        <w:rPr>
          <w:sz w:val="28"/>
          <w:szCs w:val="28"/>
          <w:shd w:fill="FFFFFF" w:val="clear"/>
        </w:rPr>
        <w:t xml:space="preserve"> человек). </w:t>
      </w:r>
      <w:r>
        <w:rPr>
          <w:b w:val="false"/>
          <w:bCs w:val="false"/>
          <w:i w:val="false"/>
          <w:iCs w:val="false"/>
          <w:sz w:val="28"/>
          <w:szCs w:val="28"/>
          <w:shd w:fill="FFFFFF" w:val="clear"/>
        </w:rPr>
        <w:t xml:space="preserve">Уровень официально регистрируемой безработицы составил </w:t>
      </w:r>
      <w:r>
        <w:rPr>
          <w:rFonts w:eastAsia="Times New Roman" w:cs="Times New Roman"/>
          <w:b w:val="false"/>
          <w:bCs w:val="false"/>
          <w:i w:val="false"/>
          <w:iCs w:val="false"/>
          <w:color w:val="000000"/>
          <w:kern w:val="0"/>
          <w:sz w:val="28"/>
          <w:szCs w:val="28"/>
          <w:shd w:fill="FFFFFF" w:val="clear"/>
          <w:lang w:val="ru-RU" w:eastAsia="ru-RU" w:bidi="ar-SA"/>
        </w:rPr>
        <w:t>0,9</w:t>
      </w:r>
      <w:r>
        <w:rPr>
          <w:b w:val="false"/>
          <w:bCs w:val="false"/>
          <w:i w:val="false"/>
          <w:iCs w:val="false"/>
          <w:sz w:val="28"/>
          <w:szCs w:val="28"/>
          <w:shd w:fill="FFFFFF" w:val="clear"/>
        </w:rPr>
        <w:t xml:space="preserve"> процента к численности рабочей силы (на 1 января 2021 года – 2,1 процента). Коэффициент напряженности на рынке труда составил 0,5 зарегистрированных безработных занятых трудовой деятельностью граждан в расчете на одну вакансию (на 1 января 2021 года – 1,5).</w:t>
      </w:r>
    </w:p>
    <w:p>
      <w:pPr>
        <w:pStyle w:val="Normal"/>
        <w:ind w:left="0" w:right="0" w:firstLine="708"/>
        <w:jc w:val="both"/>
        <w:rPr>
          <w:sz w:val="28"/>
          <w:szCs w:val="28"/>
          <w:shd w:fill="FFFFFF" w:val="clear"/>
        </w:rPr>
      </w:pPr>
      <w:r>
        <w:rPr>
          <w:sz w:val="28"/>
          <w:szCs w:val="28"/>
          <w:shd w:fill="FFFFFF" w:val="clear"/>
        </w:rPr>
      </w:r>
    </w:p>
    <w:p>
      <w:pPr>
        <w:pStyle w:val="Normal"/>
        <w:ind w:firstLine="708"/>
        <w:jc w:val="both"/>
        <w:rPr>
          <w:shd w:fill="FFFFFF" w:val="clear"/>
        </w:rPr>
      </w:pPr>
      <w:r>
        <w:rPr>
          <w:sz w:val="28"/>
          <w:szCs w:val="28"/>
          <w:shd w:fill="FFFFFF" w:val="clear"/>
        </w:rPr>
        <w:t xml:space="preserve">Прогноз социально-экономического развития Брянской области </w:t>
      </w:r>
      <w:r>
        <w:rPr>
          <w:bCs/>
          <w:sz w:val="28"/>
          <w:szCs w:val="28"/>
          <w:shd w:fill="FFFFFF" w:val="clear"/>
        </w:rPr>
        <w:t>на 2022 год и на плановый период 2023 и 2024 годов</w:t>
      </w:r>
      <w:r>
        <w:rPr>
          <w:sz w:val="28"/>
          <w:szCs w:val="28"/>
          <w:shd w:fill="FFFFFF" w:val="clear"/>
        </w:rPr>
        <w:t xml:space="preserve"> разработан на вариативной основе в составе базового и консервативного вариантов. Темпы роста экономики Брянской области в 2022-2024 годах по базовому варианту прогноза составят 103,0 процента ежегодно. </w:t>
      </w:r>
    </w:p>
    <w:p>
      <w:pPr>
        <w:pStyle w:val="Normal"/>
        <w:ind w:firstLine="708"/>
        <w:jc w:val="both"/>
        <w:rPr>
          <w:shd w:fill="FFFFFF" w:val="clear"/>
        </w:rPr>
      </w:pPr>
      <w:r>
        <w:rPr>
          <w:sz w:val="28"/>
          <w:szCs w:val="28"/>
          <w:shd w:fill="FFFFFF" w:val="clear"/>
        </w:rPr>
        <w:t>Пояснительная записка к прогнозу сформирована по показателям базового варианта прогноза.</w:t>
      </w:r>
    </w:p>
    <w:p>
      <w:pPr>
        <w:pStyle w:val="BodyText2"/>
        <w:jc w:val="center"/>
        <w:rPr>
          <w:bCs w:val="false"/>
          <w:sz w:val="28"/>
          <w:szCs w:val="28"/>
          <w:shd w:fill="FFFFFF" w:val="clear"/>
        </w:rPr>
      </w:pPr>
      <w:r>
        <w:rPr>
          <w:bCs w:val="false"/>
          <w:sz w:val="28"/>
          <w:szCs w:val="28"/>
          <w:shd w:fill="FFFFFF" w:val="clear"/>
        </w:rPr>
      </w:r>
    </w:p>
    <w:p>
      <w:pPr>
        <w:pStyle w:val="BodyText2"/>
        <w:jc w:val="center"/>
        <w:rPr>
          <w:shd w:fill="FFFFFF" w:val="clear"/>
        </w:rPr>
      </w:pPr>
      <w:r>
        <w:rPr>
          <w:bCs w:val="false"/>
          <w:sz w:val="28"/>
          <w:szCs w:val="28"/>
          <w:shd w:fill="FFFFFF" w:val="clear"/>
        </w:rPr>
        <w:t xml:space="preserve">1. </w:t>
      </w:r>
      <w:r>
        <w:rPr>
          <w:sz w:val="28"/>
          <w:szCs w:val="28"/>
          <w:shd w:fill="FFFFFF" w:val="clear"/>
        </w:rPr>
        <w:t>Население</w:t>
      </w:r>
    </w:p>
    <w:p>
      <w:pPr>
        <w:pStyle w:val="BodyText2"/>
        <w:ind w:left="0" w:right="0" w:firstLine="709"/>
        <w:rPr>
          <w:sz w:val="28"/>
          <w:szCs w:val="28"/>
          <w:shd w:fill="FFFFFF" w:val="clear"/>
        </w:rPr>
      </w:pPr>
      <w:r>
        <w:rPr>
          <w:sz w:val="28"/>
          <w:szCs w:val="28"/>
          <w:shd w:fill="FFFFFF" w:val="clear"/>
        </w:rPr>
      </w:r>
    </w:p>
    <w:p>
      <w:pPr>
        <w:pStyle w:val="BodyText2"/>
        <w:ind w:firstLine="709"/>
        <w:rPr>
          <w:shd w:fill="FFFFFF" w:val="clear"/>
        </w:rPr>
      </w:pPr>
      <w:r>
        <w:rPr>
          <w:b w:val="false"/>
          <w:bCs w:val="false"/>
          <w:sz w:val="28"/>
          <w:szCs w:val="28"/>
          <w:shd w:fill="FFFFFF" w:val="clear"/>
        </w:rPr>
        <w:t>В 2020 году суммарный коэффициент рождаемости составил 1,309 ребенка на 1 женщину. При этом общий уровень рождаемости составил 8,0 человек на 1000 населения (2019 год – 8,3), уровень смертности – 17,0 человек на 1000 населения (2019 год – 14,7), коэффициент естественной убыли населения — 9,0 человек на 1000 населения (2019 год — 6,4).</w:t>
      </w:r>
    </w:p>
    <w:p>
      <w:pPr>
        <w:pStyle w:val="BodyText2"/>
        <w:ind w:firstLine="709"/>
        <w:rPr>
          <w:shd w:fill="FFFFFF" w:val="clear"/>
        </w:rPr>
      </w:pPr>
      <w:r>
        <w:rPr>
          <w:b w:val="false"/>
          <w:bCs w:val="false"/>
          <w:sz w:val="28"/>
          <w:szCs w:val="28"/>
          <w:shd w:fill="FFFFFF" w:val="clear"/>
        </w:rPr>
        <w:t xml:space="preserve">По оценке в 2021 году суммарный коэффициент рождаемости составит 1,3 детей на 1 женщину, уровень рождаемости – 7,9 человек на 1000  населения, уровень смертности – </w:t>
      </w:r>
      <w:r>
        <w:rPr>
          <w:rFonts w:eastAsia="Times New Roman" w:cs="Times New Roman"/>
          <w:b w:val="false"/>
          <w:bCs w:val="false"/>
          <w:color w:val="000000"/>
          <w:kern w:val="0"/>
          <w:sz w:val="28"/>
          <w:szCs w:val="28"/>
          <w:shd w:fill="FFFFFF" w:val="clear"/>
          <w:lang w:val="ru-RU" w:eastAsia="ru-RU" w:bidi="ar-SA"/>
        </w:rPr>
        <w:t>19,7 человек</w:t>
      </w:r>
      <w:r>
        <w:rPr>
          <w:b w:val="false"/>
          <w:bCs w:val="false"/>
          <w:sz w:val="28"/>
          <w:szCs w:val="28"/>
          <w:shd w:fill="FFFFFF" w:val="clear"/>
        </w:rPr>
        <w:t xml:space="preserve"> на 1000 населения, коэффициент естественной убыли — </w:t>
      </w:r>
      <w:r>
        <w:rPr>
          <w:rFonts w:eastAsia="Times New Roman" w:cs="Times New Roman"/>
          <w:b w:val="false"/>
          <w:bCs w:val="false"/>
          <w:color w:val="000000"/>
          <w:kern w:val="0"/>
          <w:sz w:val="28"/>
          <w:szCs w:val="28"/>
          <w:shd w:fill="FFFFFF" w:val="clear"/>
          <w:lang w:val="ru-RU" w:eastAsia="ru-RU" w:bidi="ar-SA"/>
        </w:rPr>
        <w:t>11,8 человек</w:t>
      </w:r>
      <w:r>
        <w:rPr>
          <w:b w:val="false"/>
          <w:bCs w:val="false"/>
          <w:sz w:val="28"/>
          <w:szCs w:val="28"/>
          <w:shd w:fill="FFFFFF" w:val="clear"/>
        </w:rPr>
        <w:t xml:space="preserve"> на 1000 населения.</w:t>
      </w:r>
    </w:p>
    <w:p>
      <w:pPr>
        <w:pStyle w:val="Normal"/>
        <w:ind w:firstLine="709"/>
        <w:jc w:val="both"/>
        <w:rPr>
          <w:shd w:fill="FFFFFF" w:val="clear"/>
        </w:rPr>
      </w:pPr>
      <w:r>
        <w:rPr>
          <w:sz w:val="28"/>
          <w:szCs w:val="28"/>
          <w:shd w:fill="FFFFFF" w:val="clear"/>
        </w:rPr>
        <w:t>Эпидемиологическая ситуация, связанная с распространением новой коронавирусной инфекции, оказала существенное негативное влияние на демографическую структуру населения. На период до 2024 года предполагается, что тенденции к сокращению численности населения сохранятся, но динамика существенно снизится. Основное н</w:t>
      </w:r>
      <w:r>
        <w:rPr>
          <w:sz w:val="28"/>
          <w:szCs w:val="28"/>
          <w:shd w:fill="FFFFFF" w:val="clear"/>
        </w:rPr>
        <w:t xml:space="preserve">егативное влияние на демографическую ситуацию оказывает снижение численности населения в возрасте 15–64 года за счет малочисленного поколения людей, рожденных в 90-е годы, а также снижение численности женщин ранне- и средне-репродуктивного возраста (20–34 года). </w:t>
      </w:r>
    </w:p>
    <w:p>
      <w:pPr>
        <w:pStyle w:val="BodyText2"/>
        <w:ind w:firstLine="709"/>
        <w:rPr>
          <w:shd w:fill="FFFFFF" w:val="clear"/>
        </w:rPr>
      </w:pPr>
      <w:r>
        <w:rPr>
          <w:b w:val="false"/>
          <w:bCs w:val="false"/>
          <w:sz w:val="28"/>
          <w:szCs w:val="28"/>
          <w:shd w:fill="FFFFFF" w:val="clear"/>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pPr>
        <w:pStyle w:val="Normal"/>
        <w:ind w:firstLine="709"/>
        <w:jc w:val="both"/>
        <w:rPr>
          <w:shd w:fill="FFFFFF" w:val="clear"/>
        </w:rPr>
      </w:pPr>
      <w:r>
        <w:rPr>
          <w:sz w:val="28"/>
          <w:szCs w:val="28"/>
          <w:shd w:fill="FFFFFF" w:val="clear"/>
        </w:rPr>
        <w:t>На повышение рождаемости также направлены меры, предусматривающие повышение доступности дошкольного образования, увеличение сети образовательных организаций, реализующих образовательные программы дошкольного образования; создание потенциальной возможности для выхода на работу экономически активных родителей (законных представителей), имеющих детей в возрасте до трех лет, меры финансовой поддержки семей с детьми, женщин в период беременности, а также материальные меры поддержки.</w:t>
      </w:r>
    </w:p>
    <w:p>
      <w:pPr>
        <w:pStyle w:val="Normal"/>
        <w:ind w:firstLine="709"/>
        <w:jc w:val="both"/>
        <w:rPr>
          <w:shd w:fill="FFFFFF" w:val="clear"/>
        </w:rPr>
      </w:pPr>
      <w:r>
        <w:rPr>
          <w:sz w:val="28"/>
          <w:szCs w:val="28"/>
          <w:shd w:fill="FFFFFF" w:val="clear"/>
        </w:rPr>
        <w:t>Мероприятия по снижению смертности предусматривают:</w:t>
      </w:r>
    </w:p>
    <w:p>
      <w:pPr>
        <w:pStyle w:val="Normal"/>
        <w:ind w:firstLine="709"/>
        <w:jc w:val="both"/>
        <w:rPr>
          <w:shd w:fill="FFFFFF" w:val="clear"/>
        </w:rPr>
      </w:pPr>
      <w:r>
        <w:rPr>
          <w:sz w:val="28"/>
          <w:szCs w:val="28"/>
          <w:shd w:fill="FFFFFF" w:val="clear"/>
        </w:rPr>
        <w:t>завершение формирования сети медицинских организаций первичного звена здравоохранения, строительство фельдшерско-акушерских пунктов, приобретение современного высокотехнологичного медицинского оборудования и мобильных медицинских комплексов;</w:t>
      </w:r>
    </w:p>
    <w:p>
      <w:pPr>
        <w:pStyle w:val="Normal"/>
        <w:ind w:firstLine="709"/>
        <w:jc w:val="both"/>
        <w:rPr>
          <w:shd w:fill="FFFFFF" w:val="clear"/>
        </w:rPr>
      </w:pPr>
      <w:r>
        <w:rPr>
          <w:sz w:val="28"/>
          <w:szCs w:val="28"/>
          <w:shd w:fill="FFFFFF" w:val="clear"/>
        </w:rPr>
        <w:t>внедрение инновационных медицинских технологий, включая систему ранней диагностики заболеваний;</w:t>
      </w:r>
    </w:p>
    <w:p>
      <w:pPr>
        <w:pStyle w:val="Normal"/>
        <w:ind w:firstLine="709"/>
        <w:jc w:val="both"/>
        <w:rPr>
          <w:shd w:fill="FFFFFF" w:val="clear"/>
        </w:rPr>
      </w:pPr>
      <w:r>
        <w:rPr>
          <w:sz w:val="28"/>
          <w:szCs w:val="28"/>
          <w:shd w:fill="FFFFFF" w:val="clear"/>
        </w:rPr>
        <w:t>обеспечение медицинских организаций системы здравоохранения квалифицированными кадрами;</w:t>
      </w:r>
    </w:p>
    <w:p>
      <w:pPr>
        <w:pStyle w:val="Normal"/>
        <w:ind w:firstLine="709"/>
        <w:jc w:val="both"/>
        <w:rPr>
          <w:shd w:fill="FFFFFF" w:val="clear"/>
        </w:rPr>
      </w:pPr>
      <w:r>
        <w:rPr>
          <w:sz w:val="28"/>
          <w:szCs w:val="28"/>
          <w:shd w:fill="FFFFFF" w:val="clear"/>
        </w:rPr>
        <w:t>реализацию программ борьбы с онкологическими и сердечно- сосудистыми заболеваниями, развитие детского здравоохранения и т.д.</w:t>
      </w:r>
    </w:p>
    <w:p>
      <w:pPr>
        <w:pStyle w:val="Normal"/>
        <w:ind w:firstLine="708"/>
        <w:jc w:val="both"/>
        <w:rPr>
          <w:shd w:fill="FFFFFF" w:val="clear"/>
        </w:rPr>
      </w:pPr>
      <w:r>
        <w:rPr>
          <w:rFonts w:eastAsia="CIDFont+F2"/>
          <w:color w:val="000000"/>
          <w:sz w:val="28"/>
          <w:szCs w:val="28"/>
          <w:shd w:fill="FFFFFF" w:val="clear"/>
        </w:rPr>
        <w:t>Следует отметить, что мероприятия по сокращению уровня смертности будут способствовать снижению возрастных коэффициентов смертности, однако не смогут компенсировать потери, что приведет к сохранению естественной убыли населения на протяжении прогнозного периода.</w:t>
      </w:r>
    </w:p>
    <w:p>
      <w:pPr>
        <w:pStyle w:val="BodyText2"/>
        <w:ind w:firstLine="709"/>
        <w:rPr>
          <w:shd w:fill="FFFFFF" w:val="clear"/>
        </w:rPr>
      </w:pPr>
      <w:r>
        <w:rPr>
          <w:rFonts w:eastAsia="Times New Roman" w:cs="Times New Roman"/>
          <w:b w:val="false"/>
          <w:bCs w:val="false"/>
          <w:color w:val="000000"/>
          <w:kern w:val="0"/>
          <w:sz w:val="28"/>
          <w:szCs w:val="28"/>
          <w:shd w:fill="FFFFFF" w:val="clear"/>
          <w:lang w:val="ru-RU" w:eastAsia="ru-RU" w:bidi="ar-SA"/>
        </w:rPr>
        <w:t>Согласно прогнозу в</w:t>
      </w:r>
      <w:r>
        <w:rPr>
          <w:b w:val="false"/>
          <w:bCs w:val="false"/>
          <w:sz w:val="28"/>
          <w:szCs w:val="28"/>
          <w:shd w:fill="FFFFFF" w:val="clear"/>
        </w:rPr>
        <w:t xml:space="preserve"> 2022 году суммарный коэффициент рождаемости составит 1,31 ребенка на 1 женщину, в 2024 году – 1,315 ребенка. Общий коэффициент рождаемости в 2022 году составит 8,1 человека на 1000 населения, в 2024 году – 8,5 человека; общий коэффициент смертности населения в 2022 году составит 18,7 человека на 1000 населения, в 2024 году – 16,2 человека. Как следствие, коэффициент естественной убыли населения снизится в 2022 году до 10,6 человека на 1000 населения, в 2024 году – до  7,6 человека.</w:t>
      </w:r>
    </w:p>
    <w:p>
      <w:pPr>
        <w:pStyle w:val="BodyText2"/>
        <w:ind w:firstLine="709"/>
        <w:rPr>
          <w:shd w:fill="FFFFFF" w:val="clear"/>
        </w:rPr>
      </w:pPr>
      <w:r>
        <w:rPr>
          <w:b w:val="false"/>
          <w:bCs w:val="false"/>
          <w:sz w:val="28"/>
          <w:szCs w:val="28"/>
          <w:shd w:fill="FFFFFF" w:val="clear"/>
        </w:rPr>
        <w:t>По состоянию на 1 января 2021 года численность постоянного населения области составила 1182,7 тыс. человек, в среднегодовом исчислении за 2020 год – 1187,6 тыс. человек. Население в трудоспособном возрасте составило 652,8 тыс. человек, старше трудоспособного – 329,1 тыс. человек.</w:t>
      </w:r>
    </w:p>
    <w:p>
      <w:pPr>
        <w:pStyle w:val="BodyText2"/>
        <w:ind w:firstLine="709"/>
        <w:rPr>
          <w:shd w:fill="FFFFFF" w:val="clear"/>
        </w:rPr>
      </w:pPr>
      <w:r>
        <w:rPr>
          <w:b w:val="false"/>
          <w:bCs w:val="false"/>
          <w:sz w:val="28"/>
          <w:szCs w:val="28"/>
          <w:shd w:fill="FFFFFF" w:val="clear"/>
        </w:rPr>
        <w:t>Среднегодовая численность населения в 2021 году оценивается в 1176,7 тыс. человек. Численность населения трудоспособного возраста оценивается в 653,0 тыс. человек, старше трудоспособного - 328,9 тыс. человек.</w:t>
      </w:r>
    </w:p>
    <w:p>
      <w:pPr>
        <w:pStyle w:val="BodyText2"/>
        <w:ind w:firstLine="709"/>
        <w:rPr>
          <w:shd w:fill="FFFFFF" w:val="clear"/>
        </w:rPr>
      </w:pPr>
      <w:r>
        <w:rPr>
          <w:b w:val="false"/>
          <w:bCs w:val="false"/>
          <w:sz w:val="28"/>
          <w:szCs w:val="28"/>
          <w:shd w:fill="FFFFFF" w:val="clear"/>
        </w:rPr>
        <w:t>Среднегодовая численность населения области по прогнозу в 2022 году составит 1166,0 тыс. человек, в 2024 году – 1148,9 тыс. человек. Прогнозируется увеличение численности населения в трудоспособном возрасте с 653,5 тыс. человек в 2022 году до 655,5 тыс. человек в 2024 году. При этом численность населения старше трудоспособного возраста в 2022 году снизится до 328,0 тыс. человек, в 2024 году – до 326,0 тыс. человек.</w:t>
      </w:r>
    </w:p>
    <w:p>
      <w:pPr>
        <w:pStyle w:val="Normal"/>
        <w:ind w:left="0" w:right="0" w:firstLine="708"/>
        <w:jc w:val="both"/>
        <w:rPr>
          <w:sz w:val="28"/>
          <w:szCs w:val="28"/>
          <w:shd w:fill="FFFFFF" w:val="clear"/>
        </w:rPr>
      </w:pPr>
      <w:r>
        <w:rPr>
          <w:sz w:val="28"/>
          <w:szCs w:val="28"/>
          <w:shd w:fill="FFFFFF" w:val="clear"/>
        </w:rPr>
      </w:r>
    </w:p>
    <w:p>
      <w:pPr>
        <w:pStyle w:val="Normal"/>
        <w:jc w:val="center"/>
        <w:rPr>
          <w:shd w:fill="FFFFFF" w:val="clear"/>
        </w:rPr>
      </w:pPr>
      <w:r>
        <w:rPr>
          <w:b/>
          <w:sz w:val="28"/>
          <w:szCs w:val="28"/>
          <w:shd w:fill="FFFFFF" w:val="clear"/>
        </w:rPr>
        <w:t>2. Производство валового регионального продукта</w:t>
      </w:r>
    </w:p>
    <w:p>
      <w:pPr>
        <w:pStyle w:val="Normal"/>
        <w:jc w:val="center"/>
        <w:rPr>
          <w:b/>
          <w:b/>
          <w:sz w:val="28"/>
          <w:szCs w:val="28"/>
          <w:shd w:fill="FFFFFF" w:val="clear"/>
        </w:rPr>
      </w:pPr>
      <w:r>
        <w:rPr>
          <w:b/>
          <w:sz w:val="28"/>
          <w:szCs w:val="28"/>
          <w:shd w:fill="FFFFFF" w:val="clear"/>
        </w:rPr>
      </w:r>
    </w:p>
    <w:p>
      <w:pPr>
        <w:pStyle w:val="Normal"/>
        <w:ind w:firstLine="697"/>
        <w:jc w:val="both"/>
        <w:rPr>
          <w:shd w:fill="FFFFFF" w:val="clear"/>
        </w:rPr>
      </w:pPr>
      <w:r>
        <w:rPr>
          <w:sz w:val="28"/>
          <w:szCs w:val="28"/>
          <w:shd w:fill="FFFFFF" w:val="clear"/>
        </w:rPr>
        <w:t xml:space="preserve">Основной показатель, отражающий общеэкономическое развитие области, валовой региональный продукт за 2020 год оценен в 400,7 млрд. рублей или 98,0 процентов к уровню 2019 года. </w:t>
      </w:r>
    </w:p>
    <w:p>
      <w:pPr>
        <w:pStyle w:val="Normal"/>
        <w:ind w:firstLine="697"/>
        <w:jc w:val="both"/>
        <w:rPr>
          <w:shd w:fill="FFFFFF" w:val="clear"/>
        </w:rPr>
      </w:pPr>
      <w:r>
        <w:rPr>
          <w:sz w:val="28"/>
          <w:szCs w:val="28"/>
          <w:shd w:fill="FFFFFF" w:val="clear"/>
        </w:rPr>
        <w:t>В структуре валового регионального продукта сельское, лесное хозяйство, охота, рыболовство и рыбоводство занимает 18,8 процента; обрабатывающие производства – 15,3 процента; строительство – 3,6 процента; торговля оптовая, ремонт автотранспортных средств и мотоциклов – 15,7 процента; транспортировка и хранение – 7,7 процента; деятельность по операциям с недвижимым имуществом – 11,9 процента; государственное управление и обеспечение военной безопасности, социальное обеспечение – 6,8 процента; деятельность в области здравоохранения и социальных услуг – 4,6 процента; образование – 3,5 процента.</w:t>
      </w:r>
    </w:p>
    <w:p>
      <w:pPr>
        <w:pStyle w:val="Normal"/>
        <w:ind w:firstLine="697"/>
        <w:jc w:val="both"/>
        <w:rPr>
          <w:shd w:fill="FFFFFF" w:val="clear"/>
        </w:rPr>
      </w:pPr>
      <w:r>
        <w:rPr>
          <w:sz w:val="28"/>
          <w:szCs w:val="28"/>
          <w:shd w:fill="FFFFFF" w:val="clear"/>
        </w:rPr>
        <w:t xml:space="preserve">В 2021 году валовой региональный продукт ожидается в объеме </w:t>
      </w:r>
      <w:r>
        <w:rPr>
          <w:rFonts w:eastAsia="Times New Roman" w:cs="Times New Roman"/>
          <w:color w:val="000000"/>
          <w:kern w:val="0"/>
          <w:sz w:val="28"/>
          <w:szCs w:val="28"/>
          <w:shd w:fill="FFFFFF" w:val="clear"/>
          <w:lang w:val="ru-RU" w:eastAsia="ru-RU" w:bidi="ar-SA"/>
        </w:rPr>
        <w:t>4</w:t>
      </w:r>
      <w:r>
        <w:rPr>
          <w:rFonts w:eastAsia="Times New Roman" w:cs="Times New Roman"/>
          <w:color w:val="000000"/>
          <w:kern w:val="0"/>
          <w:sz w:val="28"/>
          <w:szCs w:val="28"/>
          <w:shd w:fill="FFFFFF" w:val="clear"/>
          <w:lang w:val="en-US" w:eastAsia="ru-RU" w:bidi="ar-SA"/>
        </w:rPr>
        <w:t>47,9</w:t>
      </w:r>
      <w:r>
        <w:rPr>
          <w:sz w:val="28"/>
          <w:szCs w:val="28"/>
          <w:shd w:fill="FFFFFF" w:val="clear"/>
        </w:rPr>
        <w:t xml:space="preserve"> млрд. рублей или 103,5 процента к уровню 2020 года. </w:t>
      </w:r>
    </w:p>
    <w:p>
      <w:pPr>
        <w:pStyle w:val="Normal"/>
        <w:ind w:firstLine="697"/>
        <w:jc w:val="both"/>
        <w:rPr>
          <w:shd w:fill="FFFFFF" w:val="clear"/>
        </w:rPr>
      </w:pPr>
      <w:r>
        <w:rPr>
          <w:sz w:val="28"/>
          <w:szCs w:val="28"/>
          <w:shd w:fill="FFFFFF" w:val="clear"/>
        </w:rPr>
        <w:t xml:space="preserve">В прогнозируемом периоде (2022-2024 годы) рост ВРП </w:t>
      </w:r>
      <w:r>
        <w:rPr>
          <w:rFonts w:eastAsia="Times New Roman" w:cs="Times New Roman"/>
          <w:color w:val="000000"/>
          <w:kern w:val="0"/>
          <w:sz w:val="28"/>
          <w:szCs w:val="28"/>
          <w:shd w:fill="FFFFFF" w:val="clear"/>
          <w:lang w:val="ru-RU" w:eastAsia="ru-RU" w:bidi="ar-SA"/>
        </w:rPr>
        <w:t>ожидается на уровне 3,0 процентов</w:t>
      </w:r>
      <w:r>
        <w:rPr>
          <w:sz w:val="28"/>
          <w:szCs w:val="28"/>
          <w:shd w:fill="FFFFFF" w:val="clear"/>
        </w:rPr>
        <w:t xml:space="preserve"> ежегодно. Объем ВРП в 2022 году прогнозируется в объеме </w:t>
      </w:r>
      <w:r>
        <w:rPr>
          <w:rFonts w:eastAsia="Times New Roman" w:cs="Times New Roman"/>
          <w:color w:val="000000"/>
          <w:kern w:val="0"/>
          <w:sz w:val="28"/>
          <w:szCs w:val="28"/>
          <w:shd w:fill="FFFFFF" w:val="clear"/>
          <w:lang w:val="en-US" w:eastAsia="ru-RU" w:bidi="ar-SA"/>
        </w:rPr>
        <w:t xml:space="preserve">479,8 </w:t>
      </w:r>
      <w:r>
        <w:rPr>
          <w:sz w:val="28"/>
          <w:szCs w:val="28"/>
          <w:shd w:fill="FFFFFF" w:val="clear"/>
        </w:rPr>
        <w:t xml:space="preserve">млрд. рублей, в 2023 году – </w:t>
      </w:r>
      <w:r>
        <w:rPr>
          <w:rFonts w:eastAsia="Times New Roman" w:cs="Times New Roman"/>
          <w:color w:val="000000"/>
          <w:kern w:val="0"/>
          <w:sz w:val="28"/>
          <w:szCs w:val="28"/>
          <w:shd w:fill="FFFFFF" w:val="clear"/>
          <w:lang w:val="en-US" w:eastAsia="ru-RU" w:bidi="ar-SA"/>
        </w:rPr>
        <w:t>510,5</w:t>
      </w:r>
      <w:r>
        <w:rPr>
          <w:sz w:val="28"/>
          <w:szCs w:val="28"/>
          <w:shd w:fill="FFFFFF" w:val="clear"/>
        </w:rPr>
        <w:t xml:space="preserve"> млрд. рублей, в 2024 году – </w:t>
      </w:r>
      <w:r>
        <w:rPr>
          <w:rFonts w:eastAsia="Times New Roman" w:cs="Times New Roman"/>
          <w:color w:val="000000"/>
          <w:kern w:val="0"/>
          <w:sz w:val="28"/>
          <w:szCs w:val="28"/>
          <w:shd w:fill="FFFFFF" w:val="clear"/>
          <w:lang w:val="en-US" w:eastAsia="ru-RU" w:bidi="ar-SA"/>
        </w:rPr>
        <w:t xml:space="preserve">544,7 </w:t>
      </w:r>
      <w:r>
        <w:rPr>
          <w:sz w:val="28"/>
          <w:szCs w:val="28"/>
          <w:shd w:fill="FFFFFF" w:val="clear"/>
        </w:rPr>
        <w:t>млрд. рублей.</w:t>
      </w:r>
    </w:p>
    <w:p>
      <w:pPr>
        <w:pStyle w:val="Normal"/>
        <w:ind w:firstLine="709"/>
        <w:jc w:val="both"/>
        <w:rPr>
          <w:shd w:fill="FFFFFF" w:val="clear"/>
        </w:rPr>
      </w:pPr>
      <w:r>
        <w:rPr>
          <w:bCs/>
          <w:sz w:val="28"/>
          <w:szCs w:val="28"/>
          <w:shd w:fill="FFFFFF" w:val="clear"/>
        </w:rPr>
        <w:t xml:space="preserve">Наибольший вклад в прирост ВРП в 2022-2024 годах будут вносить обрабатывающие производства, сельское хозяйство, транспортировка и хранение, строительство. В </w:t>
      </w:r>
      <w:r>
        <w:rPr>
          <w:sz w:val="28"/>
          <w:szCs w:val="28"/>
          <w:shd w:fill="FFFFFF" w:val="clear"/>
        </w:rPr>
        <w:t xml:space="preserve">2024 году в структуре ВРП доля обрабатывающих производств увеличится до </w:t>
      </w:r>
      <w:r>
        <w:rPr>
          <w:rFonts w:eastAsia="Times New Roman" w:cs="Times New Roman"/>
          <w:color w:val="000000"/>
          <w:kern w:val="0"/>
          <w:sz w:val="28"/>
          <w:szCs w:val="28"/>
          <w:shd w:fill="FFFFFF" w:val="clear"/>
          <w:lang w:val="en-US" w:eastAsia="ru-RU" w:bidi="ar-SA"/>
        </w:rPr>
        <w:t>16,0</w:t>
      </w:r>
      <w:r>
        <w:rPr>
          <w:sz w:val="28"/>
          <w:szCs w:val="28"/>
          <w:shd w:fill="FFFFFF" w:val="clear"/>
        </w:rPr>
        <w:t xml:space="preserve"> процент</w:t>
      </w:r>
      <w:r>
        <w:rPr>
          <w:sz w:val="28"/>
          <w:szCs w:val="28"/>
          <w:shd w:fill="FFFFFF" w:val="clear"/>
          <w:lang w:val="ru-RU"/>
        </w:rPr>
        <w:t>ов</w:t>
      </w:r>
      <w:r>
        <w:rPr>
          <w:sz w:val="28"/>
          <w:szCs w:val="28"/>
          <w:shd w:fill="FFFFFF" w:val="clear"/>
        </w:rPr>
        <w:t xml:space="preserve">, доля сельского хозяйства – до </w:t>
      </w:r>
      <w:r>
        <w:rPr>
          <w:rFonts w:eastAsia="Times New Roman" w:cs="Times New Roman"/>
          <w:color w:val="000000"/>
          <w:kern w:val="0"/>
          <w:sz w:val="28"/>
          <w:szCs w:val="28"/>
          <w:shd w:fill="FFFFFF" w:val="clear"/>
          <w:lang w:val="ru-RU" w:eastAsia="ru-RU" w:bidi="ar-SA"/>
        </w:rPr>
        <w:t>19,8</w:t>
      </w:r>
      <w:r>
        <w:rPr>
          <w:sz w:val="28"/>
          <w:szCs w:val="28"/>
          <w:shd w:fill="FFFFFF" w:val="clear"/>
        </w:rPr>
        <w:t xml:space="preserve"> процента; доля оптовой и розничной торговли уменьшится до уровня </w:t>
      </w:r>
      <w:r>
        <w:rPr>
          <w:rFonts w:eastAsia="Times New Roman" w:cs="Times New Roman"/>
          <w:color w:val="000000"/>
          <w:kern w:val="0"/>
          <w:sz w:val="28"/>
          <w:szCs w:val="28"/>
          <w:shd w:fill="FFFFFF" w:val="clear"/>
          <w:lang w:val="ru-RU" w:eastAsia="ru-RU" w:bidi="ar-SA"/>
        </w:rPr>
        <w:t>15,2</w:t>
      </w:r>
      <w:r>
        <w:rPr>
          <w:sz w:val="28"/>
          <w:szCs w:val="28"/>
          <w:shd w:fill="FFFFFF" w:val="clear"/>
        </w:rPr>
        <w:t xml:space="preserve"> процента. </w:t>
      </w:r>
    </w:p>
    <w:p>
      <w:pPr>
        <w:pStyle w:val="Normal"/>
        <w:ind w:left="0" w:right="0" w:firstLine="697"/>
        <w:jc w:val="both"/>
        <w:rPr>
          <w:sz w:val="28"/>
          <w:szCs w:val="28"/>
          <w:shd w:fill="FFFFFF" w:val="clear"/>
        </w:rPr>
      </w:pPr>
      <w:r>
        <w:rPr>
          <w:sz w:val="28"/>
          <w:szCs w:val="28"/>
          <w:shd w:fill="FFFFFF" w:val="clear"/>
        </w:rPr>
      </w:r>
    </w:p>
    <w:p>
      <w:pPr>
        <w:pStyle w:val="BodyText3"/>
        <w:jc w:val="center"/>
        <w:rPr>
          <w:b/>
          <w:b/>
          <w:bCs/>
          <w:sz w:val="28"/>
          <w:szCs w:val="28"/>
          <w:shd w:fill="FFFFFF" w:val="clear"/>
        </w:rPr>
      </w:pPr>
      <w:r>
        <w:rPr>
          <w:b/>
          <w:bCs/>
          <w:sz w:val="28"/>
          <w:szCs w:val="28"/>
          <w:shd w:fill="FFFFFF" w:val="clear"/>
        </w:rPr>
        <w:t>3. Промышленное производство</w:t>
      </w:r>
    </w:p>
    <w:p>
      <w:pPr>
        <w:pStyle w:val="BodyText3"/>
        <w:ind w:left="0" w:right="0" w:firstLine="709"/>
        <w:jc w:val="center"/>
        <w:rPr>
          <w:b/>
          <w:b/>
          <w:bCs/>
          <w:sz w:val="28"/>
          <w:szCs w:val="28"/>
          <w:shd w:fill="FFFFFF" w:val="clear"/>
        </w:rPr>
      </w:pPr>
      <w:r>
        <w:rPr>
          <w:b/>
          <w:bCs/>
          <w:sz w:val="28"/>
          <w:szCs w:val="28"/>
          <w:shd w:fill="FFFFFF" w:val="clear"/>
        </w:rPr>
      </w:r>
    </w:p>
    <w:p>
      <w:pPr>
        <w:pStyle w:val="Normal"/>
        <w:ind w:firstLine="709"/>
        <w:jc w:val="both"/>
        <w:rPr>
          <w:shd w:fill="FFFFFF" w:val="clear"/>
        </w:rPr>
      </w:pPr>
      <w:r>
        <w:rPr>
          <w:sz w:val="28"/>
          <w:szCs w:val="28"/>
          <w:shd w:fill="FFFFFF" w:val="clear"/>
        </w:rPr>
        <w:t>Производственный сектор области представлен предприятиями, относящимися к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pPr>
        <w:pStyle w:val="Normal"/>
        <w:ind w:firstLine="709"/>
        <w:jc w:val="both"/>
        <w:rPr>
          <w:shd w:fill="FFFFFF" w:val="clear"/>
        </w:rPr>
      </w:pPr>
      <w:r>
        <w:rPr>
          <w:sz w:val="28"/>
          <w:szCs w:val="28"/>
          <w:shd w:fill="FFFFFF" w:val="clear"/>
        </w:rPr>
        <w:t>Предприятия по виду деятельности «Добыча полезных ископаемых» занимают незначительное место, их доля составляет 0,1 процента от общего объема отгруженной продукции. На территории области ведется добыча песка строительного и кварцевого, мела, торфа, мергеля, различных видов глин и суглинков, которые применяются в строительной сфере. Основным предприятием данного вида деятельности является ООО «Мальцовское карьероуправление».</w:t>
      </w:r>
    </w:p>
    <w:p>
      <w:pPr>
        <w:pStyle w:val="Normal"/>
        <w:ind w:firstLine="709"/>
        <w:jc w:val="both"/>
        <w:rPr>
          <w:shd w:fill="FFFFFF" w:val="clear"/>
        </w:rPr>
      </w:pPr>
      <w:r>
        <w:rPr>
          <w:sz w:val="28"/>
          <w:szCs w:val="28"/>
          <w:shd w:fill="FFFFFF" w:val="clear"/>
        </w:rPr>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w:t>
      </w:r>
      <w:r>
        <w:rPr>
          <w:rFonts w:eastAsia="Times New Roman" w:cs="Times New Roman"/>
          <w:color w:val="000000"/>
          <w:kern w:val="0"/>
          <w:sz w:val="28"/>
          <w:szCs w:val="28"/>
          <w:shd w:fill="FFFFFF" w:val="clear"/>
          <w:lang w:val="ru-RU" w:eastAsia="ru-RU" w:bidi="ar-SA"/>
        </w:rPr>
        <w:t>6,3</w:t>
      </w:r>
      <w:r>
        <w:rPr>
          <w:sz w:val="28"/>
          <w:szCs w:val="28"/>
          <w:shd w:fill="FFFFFF" w:val="clear"/>
        </w:rPr>
        <w:t xml:space="preserve"> процента. </w:t>
      </w:r>
    </w:p>
    <w:p>
      <w:pPr>
        <w:pStyle w:val="Normal"/>
        <w:ind w:firstLine="709"/>
        <w:jc w:val="both"/>
        <w:rPr>
          <w:shd w:fill="FFFFFF" w:val="clear"/>
        </w:rPr>
      </w:pPr>
      <w:r>
        <w:rPr>
          <w:sz w:val="28"/>
          <w:szCs w:val="28"/>
          <w:shd w:fill="FFFFFF" w:val="clear"/>
        </w:rPr>
        <w:t>В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году предприятиями области выработано лишь 2,4 процента потребляемой в области электроэнергии. Основными потребителями электроэнергии являются предприятия обрабатывающих производств (</w:t>
      </w:r>
      <w:r>
        <w:rPr>
          <w:rFonts w:eastAsia="Times New Roman" w:cs="Times New Roman"/>
          <w:color w:val="000000"/>
          <w:kern w:val="0"/>
          <w:sz w:val="28"/>
          <w:szCs w:val="28"/>
          <w:shd w:fill="FFFFFF" w:val="clear"/>
          <w:lang w:val="ru-RU" w:eastAsia="ru-RU" w:bidi="ar-SA"/>
        </w:rPr>
        <w:t>22,8</w:t>
      </w:r>
      <w:r>
        <w:rPr>
          <w:sz w:val="28"/>
          <w:szCs w:val="28"/>
          <w:shd w:fill="FFFFFF" w:val="clear"/>
        </w:rPr>
        <w:t xml:space="preserve"> процента от общего потребления по области), предприятия осуществляющие деятельность в области транспортировки и хранения (</w:t>
      </w:r>
      <w:r>
        <w:rPr>
          <w:rFonts w:eastAsia="Times New Roman" w:cs="Times New Roman"/>
          <w:color w:val="000000"/>
          <w:kern w:val="0"/>
          <w:sz w:val="28"/>
          <w:szCs w:val="28"/>
          <w:shd w:fill="FFFFFF" w:val="clear"/>
          <w:lang w:val="ru-RU" w:eastAsia="ru-RU" w:bidi="ar-SA"/>
        </w:rPr>
        <w:t>9,9</w:t>
      </w:r>
      <w:r>
        <w:rPr>
          <w:sz w:val="28"/>
          <w:szCs w:val="28"/>
          <w:shd w:fill="FFFFFF" w:val="clear"/>
        </w:rPr>
        <w:t xml:space="preserve"> процента), предприятия по обеспечению электрической энергией, газом и паром (4,5 процента), предприятия сельского и лесного хозяйства (4,5 процента) и предприятия по водоснабжению; водоотведению, организации сбора и утилизации отходов (3,3 процента).</w:t>
      </w:r>
    </w:p>
    <w:p>
      <w:pPr>
        <w:pStyle w:val="Normal"/>
        <w:ind w:firstLine="709"/>
        <w:jc w:val="both"/>
        <w:rPr>
          <w:shd w:fill="FFFFFF" w:val="clear"/>
        </w:rPr>
      </w:pPr>
      <w:r>
        <w:rPr>
          <w:sz w:val="28"/>
          <w:szCs w:val="28"/>
          <w:shd w:fill="FFFFFF" w:val="clear"/>
        </w:rPr>
        <w:t>Информация о крупнейших предприятиях топливно-энергетического комплекса Брянской области представлена в таблице.</w:t>
      </w:r>
    </w:p>
    <w:p>
      <w:pPr>
        <w:pStyle w:val="Normal"/>
        <w:ind w:firstLine="709"/>
        <w:jc w:val="both"/>
        <w:rPr>
          <w:b/>
          <w:b/>
          <w:sz w:val="28"/>
          <w:szCs w:val="28"/>
          <w:shd w:fill="FFFFFF" w:val="clear"/>
        </w:rPr>
      </w:pPr>
      <w:r>
        <w:rPr>
          <w:b/>
          <w:sz w:val="28"/>
          <w:szCs w:val="28"/>
          <w:shd w:fill="FFFFFF" w:val="clear"/>
        </w:rPr>
      </w:r>
    </w:p>
    <w:p>
      <w:pPr>
        <w:pStyle w:val="Normal"/>
        <w:ind w:firstLine="709"/>
        <w:jc w:val="both"/>
        <w:rPr>
          <w:shd w:fill="FFFFFF" w:val="clear"/>
        </w:rPr>
      </w:pPr>
      <w:r>
        <w:rPr>
          <w:b/>
          <w:sz w:val="28"/>
          <w:szCs w:val="28"/>
          <w:shd w:fill="FFFFFF" w:val="clear"/>
        </w:rPr>
        <w:t>Перечень наиболее крупных предприятий ТЭК Брянской области</w:t>
      </w:r>
    </w:p>
    <w:tbl>
      <w:tblPr>
        <w:tblW w:w="9570" w:type="dxa"/>
        <w:jc w:val="left"/>
        <w:tblInd w:w="-113" w:type="dxa"/>
        <w:tblLayout w:type="fixed"/>
        <w:tblCellMar>
          <w:top w:w="55" w:type="dxa"/>
          <w:left w:w="108" w:type="dxa"/>
          <w:bottom w:w="55" w:type="dxa"/>
          <w:right w:w="108" w:type="dxa"/>
        </w:tblCellMar>
        <w:tblLook w:val="00a0"/>
      </w:tblPr>
      <w:tblGrid>
        <w:gridCol w:w="3735"/>
        <w:gridCol w:w="2024"/>
        <w:gridCol w:w="3811"/>
      </w:tblGrid>
      <w:tr>
        <w:trPr/>
        <w:tc>
          <w:tcPr>
            <w:tcW w:w="3735" w:type="dxa"/>
            <w:tcBorders>
              <w:top w:val="single" w:sz="4" w:space="0" w:color="000000"/>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Предприятие</w:t>
            </w:r>
          </w:p>
        </w:tc>
        <w:tc>
          <w:tcPr>
            <w:tcW w:w="2024" w:type="dxa"/>
            <w:tcBorders>
              <w:top w:val="single" w:sz="4" w:space="0" w:color="000000"/>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Расположение</w:t>
            </w:r>
          </w:p>
        </w:tc>
        <w:tc>
          <w:tcPr>
            <w:tcW w:w="38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8"/>
                <w:szCs w:val="28"/>
                <w:shd w:fill="FFFFFF" w:val="clear"/>
              </w:rPr>
            </w:pPr>
            <w:r>
              <w:rPr>
                <w:sz w:val="28"/>
                <w:szCs w:val="28"/>
                <w:shd w:fill="FFFFFF" w:val="clear"/>
              </w:rPr>
              <w:t>Вид деятельности</w:t>
            </w:r>
          </w:p>
        </w:tc>
      </w:tr>
      <w:tr>
        <w:trPr/>
        <w:tc>
          <w:tcPr>
            <w:tcW w:w="3735"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Филиал ООО «БрянскЭлектро»</w:t>
            </w:r>
          </w:p>
        </w:tc>
        <w:tc>
          <w:tcPr>
            <w:tcW w:w="2024"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 Брянск</w:t>
            </w:r>
          </w:p>
        </w:tc>
        <w:tc>
          <w:tcPr>
            <w:tcW w:w="3811" w:type="dxa"/>
            <w:tcBorders>
              <w:left w:val="single" w:sz="4" w:space="0" w:color="000000"/>
              <w:bottom w:val="single" w:sz="4" w:space="0" w:color="000000"/>
              <w:right w:val="single" w:sz="4" w:space="0" w:color="000000"/>
            </w:tcBorders>
            <w:vAlign w:val="center"/>
          </w:tcPr>
          <w:p>
            <w:pPr>
              <w:pStyle w:val="Normal"/>
              <w:widowControl w:val="false"/>
              <w:jc w:val="center"/>
              <w:rPr>
                <w:sz w:val="28"/>
                <w:szCs w:val="28"/>
                <w:shd w:fill="FFFFFF" w:val="clear"/>
              </w:rPr>
            </w:pPr>
            <w:r>
              <w:rPr>
                <w:sz w:val="28"/>
                <w:szCs w:val="28"/>
                <w:shd w:fill="FFFFFF" w:val="clear"/>
              </w:rPr>
              <w:t>передача и распределение электрической энергии по распределительным сетям</w:t>
            </w:r>
          </w:p>
        </w:tc>
      </w:tr>
      <w:tr>
        <w:trPr/>
        <w:tc>
          <w:tcPr>
            <w:tcW w:w="3735"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Филиал ПАО «МРСК Центра» – «Брянскэнерго»</w:t>
            </w:r>
          </w:p>
        </w:tc>
        <w:tc>
          <w:tcPr>
            <w:tcW w:w="2024"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 Брянск</w:t>
            </w:r>
          </w:p>
        </w:tc>
        <w:tc>
          <w:tcPr>
            <w:tcW w:w="3811" w:type="dxa"/>
            <w:tcBorders>
              <w:left w:val="single" w:sz="4" w:space="0" w:color="000000"/>
              <w:bottom w:val="single" w:sz="4" w:space="0" w:color="000000"/>
              <w:right w:val="single" w:sz="4" w:space="0" w:color="000000"/>
            </w:tcBorders>
            <w:vAlign w:val="center"/>
          </w:tcPr>
          <w:p>
            <w:pPr>
              <w:pStyle w:val="Normal"/>
              <w:widowControl w:val="false"/>
              <w:jc w:val="center"/>
              <w:rPr>
                <w:sz w:val="28"/>
                <w:szCs w:val="28"/>
                <w:shd w:fill="FFFFFF" w:val="clear"/>
              </w:rPr>
            </w:pPr>
            <w:r>
              <w:rPr>
                <w:sz w:val="28"/>
                <w:szCs w:val="28"/>
                <w:shd w:fill="FFFFFF" w:val="clear"/>
              </w:rPr>
              <w:t>передача и распределение электрической энергии по распределительным сетям</w:t>
            </w:r>
          </w:p>
        </w:tc>
      </w:tr>
      <w:tr>
        <w:trPr/>
        <w:tc>
          <w:tcPr>
            <w:tcW w:w="3735"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ГУП «Брянсккоммунэнерго»</w:t>
            </w:r>
          </w:p>
        </w:tc>
        <w:tc>
          <w:tcPr>
            <w:tcW w:w="2024"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 Брянск</w:t>
            </w:r>
          </w:p>
        </w:tc>
        <w:tc>
          <w:tcPr>
            <w:tcW w:w="3811" w:type="dxa"/>
            <w:tcBorders>
              <w:left w:val="single" w:sz="4" w:space="0" w:color="000000"/>
              <w:bottom w:val="single" w:sz="4" w:space="0" w:color="000000"/>
              <w:right w:val="single" w:sz="4" w:space="0" w:color="000000"/>
            </w:tcBorders>
            <w:vAlign w:val="center"/>
          </w:tcPr>
          <w:p>
            <w:pPr>
              <w:pStyle w:val="Normal"/>
              <w:widowControl w:val="false"/>
              <w:jc w:val="center"/>
              <w:rPr>
                <w:sz w:val="28"/>
                <w:szCs w:val="28"/>
                <w:shd w:fill="FFFFFF" w:val="clear"/>
              </w:rPr>
            </w:pPr>
            <w:r>
              <w:rPr>
                <w:sz w:val="28"/>
                <w:szCs w:val="28"/>
                <w:shd w:fill="FFFFFF" w:val="clear"/>
              </w:rPr>
              <w:t>выработка, распределение и реализация тепловой энергии</w:t>
            </w:r>
          </w:p>
        </w:tc>
      </w:tr>
      <w:tr>
        <w:trPr/>
        <w:tc>
          <w:tcPr>
            <w:tcW w:w="3735"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АО «Газпром газораспределение Брянск»</w:t>
            </w:r>
          </w:p>
        </w:tc>
        <w:tc>
          <w:tcPr>
            <w:tcW w:w="2024"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 Брянск</w:t>
            </w:r>
          </w:p>
        </w:tc>
        <w:tc>
          <w:tcPr>
            <w:tcW w:w="3811" w:type="dxa"/>
            <w:tcBorders>
              <w:left w:val="single" w:sz="4" w:space="0" w:color="000000"/>
              <w:bottom w:val="single" w:sz="4" w:space="0" w:color="000000"/>
              <w:right w:val="single" w:sz="4" w:space="0" w:color="000000"/>
            </w:tcBorders>
            <w:vAlign w:val="center"/>
          </w:tcPr>
          <w:p>
            <w:pPr>
              <w:pStyle w:val="Normal"/>
              <w:widowControl w:val="false"/>
              <w:jc w:val="center"/>
              <w:rPr>
                <w:sz w:val="28"/>
                <w:szCs w:val="28"/>
                <w:shd w:fill="FFFFFF" w:val="clear"/>
              </w:rPr>
            </w:pPr>
            <w:r>
              <w:rPr>
                <w:sz w:val="28"/>
                <w:szCs w:val="28"/>
                <w:shd w:fill="FFFFFF" w:val="clear"/>
              </w:rPr>
              <w:t>передача и распределение газа по распределительным сетям</w:t>
            </w:r>
          </w:p>
        </w:tc>
      </w:tr>
      <w:tr>
        <w:trPr/>
        <w:tc>
          <w:tcPr>
            <w:tcW w:w="3735"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bCs/>
                <w:sz w:val="28"/>
                <w:szCs w:val="28"/>
                <w:shd w:fill="FFFFFF" w:val="clear"/>
              </w:rPr>
              <w:t>Филиал «Брянскэнергосбыт» ООО «Газпром энергосбыт Брянск»</w:t>
            </w:r>
          </w:p>
        </w:tc>
        <w:tc>
          <w:tcPr>
            <w:tcW w:w="2024" w:type="dxa"/>
            <w:tcBorders>
              <w:left w:val="single" w:sz="4" w:space="0" w:color="000000"/>
              <w:bottom w:val="single" w:sz="4" w:space="0" w:color="000000"/>
            </w:tcBorders>
            <w:vAlign w:val="center"/>
          </w:tcPr>
          <w:p>
            <w:pPr>
              <w:pStyle w:val="Normal"/>
              <w:widowControl w:val="false"/>
              <w:jc w:val="center"/>
              <w:rPr>
                <w:sz w:val="28"/>
                <w:szCs w:val="28"/>
                <w:shd w:fill="FFFFFF" w:val="clear"/>
              </w:rPr>
            </w:pPr>
            <w:r>
              <w:rPr>
                <w:sz w:val="28"/>
                <w:szCs w:val="28"/>
                <w:shd w:fill="FFFFFF" w:val="clear"/>
              </w:rPr>
              <w:t>г. Брянск</w:t>
            </w:r>
          </w:p>
        </w:tc>
        <w:tc>
          <w:tcPr>
            <w:tcW w:w="3811" w:type="dxa"/>
            <w:tcBorders>
              <w:left w:val="single" w:sz="4" w:space="0" w:color="000000"/>
              <w:bottom w:val="single" w:sz="4" w:space="0" w:color="000000"/>
              <w:right w:val="single" w:sz="4" w:space="0" w:color="000000"/>
            </w:tcBorders>
          </w:tcPr>
          <w:p>
            <w:pPr>
              <w:pStyle w:val="Normal"/>
              <w:widowControl w:val="false"/>
              <w:jc w:val="center"/>
              <w:rPr>
                <w:sz w:val="28"/>
                <w:szCs w:val="28"/>
                <w:shd w:fill="FFFFFF" w:val="clear"/>
              </w:rPr>
            </w:pPr>
            <w:r>
              <w:rPr>
                <w:sz w:val="28"/>
                <w:szCs w:val="28"/>
                <w:shd w:fill="FFFFFF" w:val="clear"/>
              </w:rPr>
              <w:t>передача и распределение электрической энергии по распределительным сетям</w:t>
            </w:r>
          </w:p>
        </w:tc>
      </w:tr>
    </w:tbl>
    <w:p>
      <w:pPr>
        <w:pStyle w:val="Normal"/>
        <w:ind w:firstLine="709"/>
        <w:jc w:val="both"/>
        <w:rPr>
          <w:sz w:val="28"/>
          <w:szCs w:val="28"/>
          <w:shd w:fill="FFFFFF" w:val="clear"/>
        </w:rPr>
      </w:pPr>
      <w:r>
        <w:rPr>
          <w:sz w:val="28"/>
          <w:szCs w:val="28"/>
          <w:shd w:fill="FFFFFF" w:val="clear"/>
        </w:rPr>
      </w:r>
    </w:p>
    <w:p>
      <w:pPr>
        <w:pStyle w:val="Normal"/>
        <w:ind w:firstLine="709"/>
        <w:jc w:val="both"/>
        <w:rPr>
          <w:shd w:fill="FFFFFF" w:val="clear"/>
        </w:rPr>
      </w:pPr>
      <w:r>
        <w:rPr>
          <w:sz w:val="28"/>
          <w:szCs w:val="28"/>
          <w:shd w:fill="FFFFFF" w:val="clear"/>
        </w:rPr>
        <w:t xml:space="preserve">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в общем объеме отгруженных товаров собственного производства занимают около </w:t>
      </w:r>
      <w:r>
        <w:rPr>
          <w:rFonts w:eastAsia="Times New Roman" w:cs="Times New Roman"/>
          <w:color w:val="000000"/>
          <w:kern w:val="0"/>
          <w:sz w:val="28"/>
          <w:szCs w:val="28"/>
          <w:shd w:fill="FFFFFF" w:val="clear"/>
          <w:lang w:val="ru-RU" w:eastAsia="ru-RU" w:bidi="ar-SA"/>
        </w:rPr>
        <w:t>3,4</w:t>
      </w:r>
      <w:r>
        <w:rPr>
          <w:sz w:val="28"/>
          <w:szCs w:val="28"/>
          <w:shd w:fill="FFFFFF" w:val="clear"/>
        </w:rPr>
        <w:t xml:space="preserve"> процента.</w:t>
      </w:r>
    </w:p>
    <w:p>
      <w:pPr>
        <w:pStyle w:val="Normal"/>
        <w:ind w:firstLine="709"/>
        <w:jc w:val="both"/>
        <w:rPr>
          <w:shd w:fill="FFFFFF" w:val="clear"/>
        </w:rPr>
      </w:pPr>
      <w:r>
        <w:rPr>
          <w:sz w:val="28"/>
          <w:szCs w:val="28"/>
          <w:shd w:fill="FFFFFF" w:val="clear"/>
        </w:rPr>
        <w:t>Ведущая роль в промышленном производстве области принадлежит обрабатывающим производствам. На их долю приходится около 90 процентов областного объема отгруженной продукции.</w:t>
      </w:r>
    </w:p>
    <w:p>
      <w:pPr>
        <w:pStyle w:val="Normal"/>
        <w:ind w:firstLine="709"/>
        <w:jc w:val="both"/>
        <w:rPr>
          <w:shd w:fill="FFFFFF" w:val="clear"/>
        </w:rPr>
      </w:pPr>
      <w:r>
        <w:rPr>
          <w:sz w:val="28"/>
          <w:szCs w:val="28"/>
          <w:shd w:fill="FFFFFF" w:val="clear"/>
        </w:rPr>
        <w:t xml:space="preserve">Весомый вклад в развитие промышленности вносят такие ведущие предприятия, как АО УК «Брянский машиностроительный завод» (магистральные и маневровые тепловозы, запасные части для подвижного состава), АО «Клинцовский автокрановый завод» (краны на автомобильном ходу 16, 20, 25, 40 тонн на шасси МАЗ, КАМАЗ, Урал, краны на гусеничном ходу), ЗАО «Брянский Арсенал» (автогрейдеры и запасные части к ним), АО «ПО «Бежицкая сталь» (стальное литье), ЗАО СП «Брянсксельмаш» (зерноуборочные и кормоуборочные комбайны), ООО «Жуковский мотовелозавод» (квадроциклы, велосипеды, снегоходы), ЗАО «Группа Кремний Эл» (транзисторы, интегральные микросхемы, светотехническая продукция), АО «Карачевский завод «Электродеталь» (прямоугольные электрические соединители) и другие. </w:t>
      </w:r>
    </w:p>
    <w:p>
      <w:pPr>
        <w:pStyle w:val="Normal"/>
        <w:ind w:firstLine="709"/>
        <w:jc w:val="both"/>
        <w:rPr>
          <w:shd w:fill="FFFFFF" w:val="clear"/>
        </w:rPr>
      </w:pPr>
      <w:r>
        <w:rPr>
          <w:sz w:val="28"/>
          <w:szCs w:val="28"/>
          <w:shd w:fill="FFFFFF" w:val="clear"/>
        </w:rPr>
        <w:t xml:space="preserve">Продукция промышленных предприятий области традиционно пользуется спросом, как на российском рынке, так и на рынках стран ближнего и дальнего зарубежья. Предприятия имеют уже налаженные рынки сбыта. Основными странами, в которые вывозятся брянские товары, являются Беларусь, </w:t>
      </w:r>
      <w:r>
        <w:rPr>
          <w:rFonts w:eastAsia="Times New Roman" w:cs="Times New Roman"/>
          <w:color w:val="000000"/>
          <w:kern w:val="0"/>
          <w:sz w:val="28"/>
          <w:szCs w:val="28"/>
          <w:shd w:fill="FFFFFF" w:val="clear"/>
          <w:lang w:val="ru-RU" w:eastAsia="ru-RU" w:bidi="ar-SA"/>
        </w:rPr>
        <w:t>Казахстан, Китай</w:t>
      </w:r>
      <w:r>
        <w:rPr>
          <w:sz w:val="28"/>
          <w:szCs w:val="28"/>
          <w:shd w:fill="FFFFFF" w:val="clear"/>
        </w:rPr>
        <w:t xml:space="preserve">, Германия. Наибольшим спросом пользуются продовольственные товары; машины, оборудование и транспортные средства; металлы и изделия из них; древесина и </w:t>
      </w:r>
      <w:r>
        <w:rPr>
          <w:rFonts w:eastAsia="Times New Roman" w:cs="Times New Roman"/>
          <w:color w:val="000000"/>
          <w:kern w:val="0"/>
          <w:sz w:val="28"/>
          <w:szCs w:val="28"/>
          <w:shd w:fill="FFFFFF" w:val="clear"/>
          <w:lang w:val="ru-RU" w:eastAsia="ru-RU" w:bidi="ar-SA"/>
        </w:rPr>
        <w:t>целлюлозно-бумажные изделия</w:t>
      </w:r>
      <w:r>
        <w:rPr>
          <w:sz w:val="28"/>
          <w:szCs w:val="28"/>
          <w:shd w:fill="FFFFFF" w:val="clear"/>
        </w:rPr>
        <w:t xml:space="preserve">. </w:t>
      </w:r>
    </w:p>
    <w:p>
      <w:pPr>
        <w:pStyle w:val="Normal"/>
        <w:ind w:left="0" w:right="0" w:firstLine="709"/>
        <w:jc w:val="both"/>
        <w:rPr>
          <w:shd w:fill="FFFFFF" w:val="clear"/>
        </w:rPr>
      </w:pPr>
      <w:r>
        <w:rPr>
          <w:sz w:val="28"/>
          <w:szCs w:val="28"/>
          <w:shd w:fill="FFFFFF" w:val="clear"/>
        </w:rPr>
        <w:t xml:space="preserve">По итогам 2020 года, не смотря на факторы, обусловленные влиянием коронавирусной инфекции на экономику Российской Федерации, промышленный сектор Брянской области показал </w:t>
      </w:r>
      <w:r>
        <w:rPr>
          <w:rFonts w:eastAsia="Times New Roman" w:cs="Times New Roman"/>
          <w:color w:val="000000"/>
          <w:kern w:val="0"/>
          <w:sz w:val="28"/>
          <w:szCs w:val="28"/>
          <w:shd w:fill="FFFFFF" w:val="clear"/>
          <w:lang w:val="ru-RU" w:eastAsia="ru-RU" w:bidi="ar-SA"/>
        </w:rPr>
        <w:t>умеренный рост</w:t>
      </w:r>
      <w:r>
        <w:rPr>
          <w:sz w:val="28"/>
          <w:szCs w:val="28"/>
          <w:shd w:fill="FFFFFF" w:val="clear"/>
        </w:rPr>
        <w:t>.</w:t>
      </w:r>
    </w:p>
    <w:p>
      <w:pPr>
        <w:pStyle w:val="Normal"/>
        <w:ind w:left="0" w:right="0" w:firstLine="709"/>
        <w:jc w:val="both"/>
        <w:rPr>
          <w:shd w:fill="FFFFFF" w:val="clear"/>
        </w:rPr>
      </w:pPr>
      <w:r>
        <w:rPr>
          <w:sz w:val="28"/>
          <w:szCs w:val="28"/>
          <w:shd w:fill="FFFFFF" w:val="clear"/>
        </w:rPr>
        <w:t xml:space="preserve">Большинству Брянских предприятий удалось не только сохранить достигнутые ранее показатели, но даже нарастить объёмы производства, несмотря на сложности, связанные с пандемией. </w:t>
      </w:r>
    </w:p>
    <w:p>
      <w:pPr>
        <w:pStyle w:val="Normal"/>
        <w:ind w:left="0" w:right="0" w:firstLine="709"/>
        <w:jc w:val="both"/>
        <w:rPr>
          <w:shd w:fill="FFFFFF" w:val="clear"/>
        </w:rPr>
      </w:pPr>
      <w:r>
        <w:rPr>
          <w:sz w:val="28"/>
          <w:szCs w:val="28"/>
          <w:shd w:fill="FFFFFF" w:val="clear"/>
        </w:rPr>
        <w:t>Меры государственной поддержки предприятий, реализующих проекты по модернизации производства, будут способствовать дальнейшему росту промышленного производства.</w:t>
      </w:r>
    </w:p>
    <w:p>
      <w:pPr>
        <w:pStyle w:val="Style16"/>
        <w:ind w:left="0" w:right="0" w:firstLine="709"/>
        <w:jc w:val="both"/>
        <w:rPr>
          <w:shd w:fill="FFFFFF" w:val="clear"/>
        </w:rPr>
      </w:pPr>
      <w:r>
        <w:rPr>
          <w:sz w:val="28"/>
          <w:szCs w:val="28"/>
          <w:shd w:fill="FFFFFF" w:val="clear"/>
        </w:rPr>
        <w:t xml:space="preserve">Так, в 2020 году АО «ПО «Бежицкая сталь» (входит в состав АО «Трансмашхолдинг») предоставлен заём в размере 399 млн. рублей </w:t>
      </w:r>
      <w:r>
        <w:rPr>
          <w:rFonts w:eastAsia="Times New Roman" w:cs="Times New Roman"/>
          <w:color w:val="000000"/>
          <w:kern w:val="0"/>
          <w:sz w:val="28"/>
          <w:szCs w:val="28"/>
          <w:shd w:fill="FFFFFF" w:val="clear"/>
          <w:lang w:val="ru-RU" w:eastAsia="ru-RU" w:bidi="ar-SA"/>
        </w:rPr>
        <w:t>на</w:t>
      </w:r>
      <w:r>
        <w:rPr>
          <w:sz w:val="28"/>
          <w:szCs w:val="28"/>
          <w:shd w:fill="FFFFFF" w:val="clear"/>
        </w:rPr>
        <w:t xml:space="preserve"> приобретение нового оборудования, увеличение объема производства комплектующих изделий для вагоностроения, а также диверсифи</w:t>
      </w:r>
      <w:r>
        <w:rPr>
          <w:rFonts w:eastAsia="Times New Roman" w:cs="Times New Roman"/>
          <w:color w:val="000000"/>
          <w:kern w:val="0"/>
          <w:sz w:val="28"/>
          <w:szCs w:val="28"/>
          <w:shd w:fill="FFFFFF" w:val="clear"/>
          <w:lang w:val="ru-RU" w:eastAsia="ru-RU" w:bidi="ar-SA"/>
        </w:rPr>
        <w:t>кацию</w:t>
      </w:r>
      <w:r>
        <w:rPr>
          <w:sz w:val="28"/>
          <w:szCs w:val="28"/>
          <w:shd w:fill="FFFFFF" w:val="clear"/>
        </w:rPr>
        <w:t xml:space="preserve"> ассортиментного портфеля компании в результате частичной переориентации производства на рынок электровозостроения и тепловозостроения.</w:t>
      </w:r>
    </w:p>
    <w:p>
      <w:pPr>
        <w:pStyle w:val="Normal"/>
        <w:ind w:firstLine="851"/>
        <w:jc w:val="both"/>
        <w:rPr>
          <w:shd w:fill="FFFFFF" w:val="clear"/>
        </w:rPr>
      </w:pPr>
      <w:r>
        <w:rPr>
          <w:color w:val="000000"/>
          <w:sz w:val="28"/>
          <w:szCs w:val="28"/>
          <w:shd w:fill="FFFFFF" w:val="clear"/>
        </w:rPr>
        <w:t xml:space="preserve">В 2020 году АО «МЕТАКЛЭЙ» при поддержке НО «МОНОГОРОДА.РФ» запущена линия по изготовлению защитной стеклопластиковой ленты однонаправленно армированной «АТП ЛЕНТА» для защиты изоляционного покрытия стальных труб магистральных газо- и нефтепроводов проекта производства защитного стеклопластикового покрытия «Кольчуга». На эти цели Фонд развития моногородов выдал </w:t>
      </w:r>
      <w:r>
        <w:rPr>
          <w:rFonts w:eastAsia="Times New Roman" w:cs="Times New Roman"/>
          <w:color w:val="000000"/>
          <w:kern w:val="0"/>
          <w:sz w:val="28"/>
          <w:szCs w:val="28"/>
          <w:shd w:fill="FFFFFF" w:val="clear"/>
          <w:lang w:val="ru-RU" w:eastAsia="ru-RU" w:bidi="ar-SA"/>
        </w:rPr>
        <w:t>предприятию</w:t>
      </w:r>
      <w:r>
        <w:rPr>
          <w:color w:val="000000"/>
          <w:sz w:val="28"/>
          <w:szCs w:val="28"/>
          <w:shd w:fill="FFFFFF" w:val="clear"/>
        </w:rPr>
        <w:t xml:space="preserve"> беспроцентный заём в размере 152,2 млн рублей. </w:t>
      </w:r>
    </w:p>
    <w:p>
      <w:pPr>
        <w:pStyle w:val="Style16"/>
        <w:ind w:left="0" w:right="0" w:firstLine="709"/>
        <w:jc w:val="both"/>
        <w:rPr>
          <w:shd w:fill="FFFFFF" w:val="clear"/>
        </w:rPr>
      </w:pPr>
      <w:r>
        <w:rPr>
          <w:sz w:val="28"/>
          <w:szCs w:val="28"/>
          <w:shd w:fill="FFFFFF" w:val="clear"/>
        </w:rPr>
        <w:t xml:space="preserve">В августе 2021 года </w:t>
      </w:r>
      <w:r>
        <w:rPr>
          <w:rFonts w:eastAsia="Times New Roman" w:cs="Times New Roman"/>
          <w:color w:val="000000"/>
          <w:kern w:val="0"/>
          <w:sz w:val="28"/>
          <w:szCs w:val="28"/>
          <w:shd w:fill="FFFFFF" w:val="clear"/>
          <w:lang w:val="ru-RU" w:eastAsia="ru-RU" w:bidi="ar-SA"/>
        </w:rPr>
        <w:t>подписано</w:t>
      </w:r>
      <w:r>
        <w:rPr>
          <w:sz w:val="28"/>
          <w:szCs w:val="28"/>
          <w:shd w:fill="FFFFFF" w:val="clear"/>
        </w:rPr>
        <w:t xml:space="preserve"> соглашение между АО «Группа Кремний ЭЛ» и Минпромторгом России  о  выделении из федерального бюджета субсидии в размере 400 млн. рублей на реализацию проекта по разработке и серийному выпуску новых типов кремниевых структур с полной диэлектрической изоляцией (КСДИ-пластин). Ближайшие аналоги продукции выпускаются только за рубежом. Реализация проекта позволит предприятию расширить номенклатуру, повысить качество продукции.</w:t>
      </w:r>
    </w:p>
    <w:p>
      <w:pPr>
        <w:pStyle w:val="Normal"/>
        <w:ind w:firstLine="709"/>
        <w:jc w:val="both"/>
        <w:rPr>
          <w:shd w:fill="FFFFFF" w:val="clear"/>
        </w:rPr>
      </w:pPr>
      <w:r>
        <w:rPr>
          <w:sz w:val="28"/>
          <w:szCs w:val="28"/>
          <w:shd w:fill="FFFFFF" w:val="clear"/>
        </w:rPr>
        <w:t xml:space="preserve">На реализацию эффективной промышленной политики направлены  региональные законы «О промышленной политике в Брянской области» и «Об инвестиционной деятельности в Брянской области», мероприятия подпрограммы «Развитие промышленности Брянской области», реализуемой в рамках государственной программы «Развитие промышленности, транспорта и связи Брянской области», мероприятия региональных проектов </w:t>
      </w:r>
      <w:r>
        <w:rPr>
          <w:rFonts w:eastAsia="Times New Roman" w:cs="Times New Roman"/>
          <w:color w:val="000000"/>
          <w:kern w:val="0"/>
          <w:sz w:val="28"/>
          <w:szCs w:val="28"/>
          <w:shd w:fill="FFFFFF" w:val="clear"/>
          <w:lang w:val="ru-RU" w:eastAsia="ru-RU" w:bidi="ar-SA"/>
        </w:rPr>
        <w:t>по</w:t>
      </w:r>
      <w:r>
        <w:rPr>
          <w:sz w:val="28"/>
          <w:szCs w:val="28"/>
          <w:shd w:fill="FFFFFF" w:val="clear"/>
        </w:rPr>
        <w:t xml:space="preserve"> повышению производительности труда на предприятиях.</w:t>
      </w:r>
    </w:p>
    <w:p>
      <w:pPr>
        <w:pStyle w:val="Normal"/>
        <w:ind w:firstLine="709"/>
        <w:jc w:val="both"/>
        <w:rPr>
          <w:shd w:fill="FFFFFF" w:val="clear"/>
        </w:rPr>
      </w:pPr>
      <w:r>
        <w:rPr>
          <w:sz w:val="28"/>
          <w:szCs w:val="28"/>
          <w:shd w:fill="FFFFFF" w:val="clear"/>
        </w:rPr>
        <w:t>В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году индекс промышленного производства составил 1</w:t>
      </w:r>
      <w:r>
        <w:rPr>
          <w:rFonts w:eastAsia="Times New Roman" w:cs="Times New Roman"/>
          <w:color w:val="000000"/>
          <w:kern w:val="0"/>
          <w:sz w:val="28"/>
          <w:szCs w:val="28"/>
          <w:shd w:fill="FFFFFF" w:val="clear"/>
          <w:lang w:val="ru-RU" w:eastAsia="ru-RU" w:bidi="ar-SA"/>
        </w:rPr>
        <w:t>02,0</w:t>
      </w:r>
      <w:r>
        <w:rPr>
          <w:sz w:val="28"/>
          <w:szCs w:val="28"/>
          <w:shd w:fill="FFFFFF" w:val="clear"/>
        </w:rPr>
        <w:t xml:space="preserve"> процента к уровню 2019 года. В 2021 году индекс промышленного производства оценивается в </w:t>
      </w:r>
      <w:r>
        <w:rPr>
          <w:rFonts w:eastAsia="Times New Roman" w:cs="Times New Roman"/>
          <w:color w:val="000000"/>
          <w:kern w:val="0"/>
          <w:sz w:val="28"/>
          <w:szCs w:val="28"/>
          <w:shd w:fill="FFFFFF" w:val="clear"/>
          <w:lang w:val="en-US" w:eastAsia="ru-RU" w:bidi="ar-SA"/>
        </w:rPr>
        <w:t>106,0</w:t>
      </w:r>
      <w:r>
        <w:rPr>
          <w:sz w:val="28"/>
          <w:szCs w:val="28"/>
          <w:shd w:fill="FFFFFF" w:val="clear"/>
        </w:rPr>
        <w:t xml:space="preserve"> процент</w:t>
      </w:r>
      <w:r>
        <w:rPr>
          <w:sz w:val="28"/>
          <w:szCs w:val="28"/>
          <w:shd w:fill="FFFFFF" w:val="clear"/>
          <w:lang w:val="ru-RU"/>
        </w:rPr>
        <w:t>ов,</w:t>
      </w:r>
      <w:r>
        <w:rPr>
          <w:sz w:val="28"/>
          <w:szCs w:val="28"/>
          <w:shd w:fill="FFFFFF" w:val="clear"/>
        </w:rPr>
        <w:t xml:space="preserve"> в 2022 - 2024 годах  </w:t>
      </w:r>
      <w:r>
        <w:rPr>
          <w:rFonts w:eastAsia="Times New Roman" w:cs="Times New Roman"/>
          <w:color w:val="000000"/>
          <w:kern w:val="0"/>
          <w:sz w:val="28"/>
          <w:szCs w:val="28"/>
          <w:shd w:fill="FFFFFF" w:val="clear"/>
          <w:lang w:val="ru-RU" w:eastAsia="ru-RU" w:bidi="ar-SA"/>
        </w:rPr>
        <w:t>прогнозируется</w:t>
      </w:r>
      <w:r>
        <w:rPr>
          <w:sz w:val="28"/>
          <w:szCs w:val="28"/>
          <w:shd w:fill="FFFFFF" w:val="clear"/>
        </w:rPr>
        <w:t xml:space="preserve"> в </w:t>
      </w:r>
      <w:r>
        <w:rPr>
          <w:rFonts w:eastAsia="Times New Roman" w:cs="Times New Roman"/>
          <w:color w:val="000000"/>
          <w:kern w:val="0"/>
          <w:sz w:val="28"/>
          <w:szCs w:val="28"/>
          <w:shd w:fill="FFFFFF" w:val="clear"/>
          <w:lang w:val="ru-RU" w:eastAsia="ru-RU" w:bidi="ar-SA"/>
        </w:rPr>
        <w:t>105,3-</w:t>
      </w:r>
      <w:r>
        <w:rPr>
          <w:sz w:val="28"/>
          <w:szCs w:val="28"/>
          <w:shd w:fill="FFFFFF" w:val="clear"/>
        </w:rPr>
        <w:t xml:space="preserve"> 10</w:t>
      </w:r>
      <w:r>
        <w:rPr>
          <w:rFonts w:eastAsia="Times New Roman" w:cs="Times New Roman"/>
          <w:color w:val="000000"/>
          <w:kern w:val="0"/>
          <w:sz w:val="28"/>
          <w:szCs w:val="28"/>
          <w:shd w:fill="FFFFFF" w:val="clear"/>
          <w:lang w:val="ru-RU" w:eastAsia="ru-RU" w:bidi="ar-SA"/>
        </w:rPr>
        <w:t>6,0</w:t>
      </w:r>
      <w:r>
        <w:rPr>
          <w:sz w:val="28"/>
          <w:szCs w:val="28"/>
          <w:shd w:fill="FFFFFF" w:val="clear"/>
        </w:rPr>
        <w:t xml:space="preserve"> процентов.</w:t>
      </w:r>
    </w:p>
    <w:p>
      <w:pPr>
        <w:pStyle w:val="Normal"/>
        <w:ind w:firstLine="709"/>
        <w:jc w:val="both"/>
        <w:rPr>
          <w:shd w:fill="FFFFFF" w:val="clear"/>
        </w:rPr>
      </w:pPr>
      <w:r>
        <w:rPr>
          <w:sz w:val="28"/>
          <w:szCs w:val="28"/>
          <w:shd w:fill="FFFFFF" w:val="clear"/>
        </w:rPr>
        <w:t xml:space="preserve">В 2021 году объем отгруженной продукции по виду деятельности «Добыча полезных ископаемых» оценивается в </w:t>
      </w:r>
      <w:r>
        <w:rPr>
          <w:rFonts w:eastAsia="Times New Roman" w:cs="Times New Roman"/>
          <w:color w:val="000000"/>
          <w:kern w:val="0"/>
          <w:sz w:val="28"/>
          <w:szCs w:val="28"/>
          <w:shd w:fill="FFFFFF" w:val="clear"/>
          <w:lang w:val="ru-RU" w:eastAsia="ru-RU" w:bidi="ar-SA"/>
        </w:rPr>
        <w:t>341,8</w:t>
      </w:r>
      <w:r>
        <w:rPr>
          <w:sz w:val="28"/>
          <w:szCs w:val="28"/>
          <w:shd w:fill="FFFFFF" w:val="clear"/>
        </w:rPr>
        <w:t xml:space="preserve"> млн. рублей (индекс промышленного производства – 10</w:t>
      </w:r>
      <w:r>
        <w:rPr>
          <w:rFonts w:eastAsia="Times New Roman" w:cs="Times New Roman"/>
          <w:color w:val="000000"/>
          <w:kern w:val="0"/>
          <w:sz w:val="28"/>
          <w:szCs w:val="28"/>
          <w:shd w:fill="FFFFFF" w:val="clear"/>
          <w:lang w:val="ru-RU" w:eastAsia="ru-RU" w:bidi="ar-SA"/>
        </w:rPr>
        <w:t>0,0</w:t>
      </w:r>
      <w:r>
        <w:rPr>
          <w:sz w:val="28"/>
          <w:szCs w:val="28"/>
          <w:shd w:fill="FFFFFF" w:val="clear"/>
        </w:rPr>
        <w:t xml:space="preserve"> процентов), в 2022 году прогнозируется в объеме </w:t>
      </w:r>
      <w:r>
        <w:rPr>
          <w:rFonts w:eastAsia="Times New Roman" w:cs="Times New Roman"/>
          <w:color w:val="000000"/>
          <w:kern w:val="0"/>
          <w:sz w:val="28"/>
          <w:szCs w:val="28"/>
          <w:shd w:fill="FFFFFF" w:val="clear"/>
          <w:lang w:val="ru-RU" w:eastAsia="ru-RU" w:bidi="ar-SA"/>
        </w:rPr>
        <w:t>349,0</w:t>
      </w:r>
      <w:r>
        <w:rPr>
          <w:sz w:val="28"/>
          <w:szCs w:val="28"/>
          <w:shd w:fill="FFFFFF" w:val="clear"/>
        </w:rPr>
        <w:t xml:space="preserve"> млн. рублей (10</w:t>
      </w:r>
      <w:r>
        <w:rPr>
          <w:rFonts w:eastAsia="Times New Roman" w:cs="Times New Roman"/>
          <w:color w:val="000000"/>
          <w:kern w:val="0"/>
          <w:sz w:val="28"/>
          <w:szCs w:val="28"/>
          <w:shd w:fill="FFFFFF" w:val="clear"/>
          <w:lang w:val="ru-RU" w:eastAsia="ru-RU" w:bidi="ar-SA"/>
        </w:rPr>
        <w:t>0,5</w:t>
      </w:r>
      <w:r>
        <w:rPr>
          <w:sz w:val="28"/>
          <w:szCs w:val="28"/>
          <w:shd w:fill="FFFFFF" w:val="clear"/>
        </w:rPr>
        <w:t xml:space="preserve"> процента), в 2023 году – </w:t>
      </w:r>
      <w:r>
        <w:rPr>
          <w:rFonts w:eastAsia="Times New Roman" w:cs="Times New Roman"/>
          <w:color w:val="000000"/>
          <w:kern w:val="0"/>
          <w:sz w:val="28"/>
          <w:szCs w:val="28"/>
          <w:shd w:fill="FFFFFF" w:val="clear"/>
          <w:lang w:val="ru-RU" w:eastAsia="ru-RU" w:bidi="ar-SA"/>
        </w:rPr>
        <w:t>359,5</w:t>
      </w:r>
      <w:r>
        <w:rPr>
          <w:sz w:val="28"/>
          <w:szCs w:val="28"/>
          <w:shd w:fill="FFFFFF" w:val="clear"/>
        </w:rPr>
        <w:t xml:space="preserve"> млн. рублей (10</w:t>
      </w:r>
      <w:r>
        <w:rPr>
          <w:rFonts w:eastAsia="Times New Roman" w:cs="Times New Roman"/>
          <w:color w:val="000000"/>
          <w:kern w:val="0"/>
          <w:sz w:val="28"/>
          <w:szCs w:val="28"/>
          <w:shd w:fill="FFFFFF" w:val="clear"/>
          <w:lang w:val="ru-RU" w:eastAsia="ru-RU" w:bidi="ar-SA"/>
        </w:rPr>
        <w:t>0,7</w:t>
      </w:r>
      <w:r>
        <w:rPr>
          <w:sz w:val="28"/>
          <w:szCs w:val="28"/>
          <w:shd w:fill="FFFFFF" w:val="clear"/>
        </w:rPr>
        <w:t xml:space="preserve"> процента), в 2024 году – </w:t>
      </w:r>
      <w:r>
        <w:rPr>
          <w:rFonts w:eastAsia="Times New Roman" w:cs="Times New Roman"/>
          <w:color w:val="000000"/>
          <w:kern w:val="0"/>
          <w:sz w:val="28"/>
          <w:szCs w:val="28"/>
          <w:shd w:fill="FFFFFF" w:val="clear"/>
          <w:lang w:val="ru-RU" w:eastAsia="ru-RU" w:bidi="ar-SA"/>
        </w:rPr>
        <w:t>374,0</w:t>
      </w:r>
      <w:r>
        <w:rPr>
          <w:sz w:val="28"/>
          <w:szCs w:val="28"/>
          <w:shd w:fill="FFFFFF" w:val="clear"/>
        </w:rPr>
        <w:t xml:space="preserve"> млн. рублей (101,0 процент).</w:t>
      </w:r>
    </w:p>
    <w:p>
      <w:pPr>
        <w:pStyle w:val="Normal"/>
        <w:ind w:firstLine="709"/>
        <w:jc w:val="both"/>
        <w:rPr>
          <w:shd w:fill="FFFFFF" w:val="clear"/>
        </w:rPr>
      </w:pPr>
      <w:r>
        <w:rPr>
          <w:sz w:val="28"/>
          <w:szCs w:val="28"/>
          <w:shd w:fill="FFFFFF" w:val="clear"/>
        </w:rPr>
        <w:t xml:space="preserve">Предприятиями обрабатывающих производств в 2021 году будет отгружено продукции в действующих ценах на </w:t>
      </w:r>
      <w:r>
        <w:rPr>
          <w:rFonts w:eastAsia="Times New Roman" w:cs="Times New Roman"/>
          <w:color w:val="000000"/>
          <w:kern w:val="0"/>
          <w:sz w:val="28"/>
          <w:szCs w:val="28"/>
          <w:shd w:fill="FFFFFF" w:val="clear"/>
          <w:lang w:val="ru-RU" w:eastAsia="ru-RU" w:bidi="ar-SA"/>
        </w:rPr>
        <w:t>285,7</w:t>
      </w:r>
      <w:r>
        <w:rPr>
          <w:sz w:val="28"/>
          <w:szCs w:val="28"/>
          <w:shd w:fill="FFFFFF" w:val="clear"/>
        </w:rPr>
        <w:t xml:space="preserve"> млрд. рублей, индекс производства оценивается в </w:t>
      </w:r>
      <w:r>
        <w:rPr>
          <w:rFonts w:eastAsia="Times New Roman" w:cs="Times New Roman"/>
          <w:color w:val="000000"/>
          <w:kern w:val="0"/>
          <w:sz w:val="28"/>
          <w:szCs w:val="28"/>
          <w:shd w:fill="FFFFFF" w:val="clear"/>
          <w:lang w:val="ru-RU" w:eastAsia="ru-RU" w:bidi="ar-SA"/>
        </w:rPr>
        <w:t>105,9</w:t>
      </w:r>
      <w:r>
        <w:rPr>
          <w:sz w:val="28"/>
          <w:szCs w:val="28"/>
          <w:shd w:fill="FFFFFF" w:val="clear"/>
        </w:rPr>
        <w:t xml:space="preserve"> процента. В 2022 году объем отгруженных товаров составит </w:t>
      </w:r>
      <w:r>
        <w:rPr>
          <w:rFonts w:eastAsia="Times New Roman" w:cs="Times New Roman"/>
          <w:color w:val="000000"/>
          <w:kern w:val="0"/>
          <w:sz w:val="28"/>
          <w:szCs w:val="28"/>
          <w:shd w:fill="FFFFFF" w:val="clear"/>
          <w:lang w:val="ru-RU" w:eastAsia="ru-RU" w:bidi="ar-SA"/>
        </w:rPr>
        <w:t>313,0</w:t>
      </w:r>
      <w:r>
        <w:rPr>
          <w:sz w:val="28"/>
          <w:szCs w:val="28"/>
          <w:shd w:fill="FFFFFF" w:val="clear"/>
        </w:rPr>
        <w:t xml:space="preserve"> млрд. рублей (индекс производства – </w:t>
      </w:r>
      <w:r>
        <w:rPr>
          <w:rFonts w:eastAsia="Times New Roman" w:cs="Times New Roman"/>
          <w:color w:val="000000"/>
          <w:kern w:val="0"/>
          <w:sz w:val="28"/>
          <w:szCs w:val="28"/>
          <w:shd w:fill="FFFFFF" w:val="clear"/>
          <w:lang w:val="ru-RU" w:eastAsia="ru-RU" w:bidi="ar-SA"/>
        </w:rPr>
        <w:t>105,2</w:t>
      </w:r>
      <w:r>
        <w:rPr>
          <w:sz w:val="28"/>
          <w:szCs w:val="28"/>
          <w:shd w:fill="FFFFFF" w:val="clear"/>
        </w:rPr>
        <w:t xml:space="preserve"> процента), в 2023 году -344,8 млрд. рублей (105,5 процента), в 2024 году – </w:t>
      </w:r>
      <w:r>
        <w:rPr>
          <w:rFonts w:eastAsia="Times New Roman" w:cs="Times New Roman"/>
          <w:color w:val="000000"/>
          <w:kern w:val="0"/>
          <w:sz w:val="28"/>
          <w:szCs w:val="28"/>
          <w:shd w:fill="FFFFFF" w:val="clear"/>
          <w:lang w:val="ru-RU" w:eastAsia="ru-RU" w:bidi="ar-SA"/>
        </w:rPr>
        <w:t>381,8</w:t>
      </w:r>
      <w:r>
        <w:rPr>
          <w:sz w:val="28"/>
          <w:szCs w:val="28"/>
          <w:shd w:fill="FFFFFF" w:val="clear"/>
        </w:rPr>
        <w:t xml:space="preserve"> млрд. рублей (</w:t>
      </w:r>
      <w:r>
        <w:rPr>
          <w:rFonts w:eastAsia="Times New Roman" w:cs="Times New Roman"/>
          <w:color w:val="000000"/>
          <w:kern w:val="0"/>
          <w:sz w:val="28"/>
          <w:szCs w:val="28"/>
          <w:shd w:fill="FFFFFF" w:val="clear"/>
          <w:lang w:val="ru-RU" w:eastAsia="ru-RU" w:bidi="ar-SA"/>
        </w:rPr>
        <w:t>105,9</w:t>
      </w:r>
      <w:r>
        <w:rPr>
          <w:sz w:val="28"/>
          <w:szCs w:val="28"/>
          <w:shd w:fill="FFFFFF" w:val="clear"/>
        </w:rPr>
        <w:t xml:space="preserve"> процента). </w:t>
      </w:r>
    </w:p>
    <w:p>
      <w:pPr>
        <w:pStyle w:val="Normal"/>
        <w:ind w:left="0" w:right="0" w:firstLine="709"/>
        <w:jc w:val="both"/>
        <w:rPr>
          <w:shd w:fill="FFFFFF" w:val="clear"/>
        </w:rPr>
      </w:pPr>
      <w:r>
        <w:rPr>
          <w:sz w:val="28"/>
          <w:szCs w:val="28"/>
          <w:shd w:fill="FFFFFF" w:val="clear"/>
        </w:rPr>
        <w:t xml:space="preserve">В 2021 году индекс производства по виду деятельности «Производство прочих транспортных средств и оборудования» оценивается в </w:t>
      </w:r>
      <w:r>
        <w:rPr>
          <w:rFonts w:eastAsia="Times New Roman" w:cs="Times New Roman"/>
          <w:color w:val="000000"/>
          <w:kern w:val="0"/>
          <w:sz w:val="28"/>
          <w:szCs w:val="28"/>
          <w:shd w:fill="FFFFFF" w:val="clear"/>
          <w:lang w:val="ru-RU" w:eastAsia="ru-RU" w:bidi="ar-SA"/>
        </w:rPr>
        <w:t>106,5</w:t>
      </w:r>
      <w:r>
        <w:rPr>
          <w:sz w:val="28"/>
          <w:szCs w:val="28"/>
          <w:shd w:fill="FFFFFF" w:val="clear"/>
        </w:rPr>
        <w:t xml:space="preserve"> процента, в 2022-2024 годах прогнозируется в </w:t>
      </w:r>
      <w:r>
        <w:rPr>
          <w:rFonts w:eastAsia="Times New Roman" w:cs="Times New Roman"/>
          <w:color w:val="000000"/>
          <w:kern w:val="0"/>
          <w:sz w:val="28"/>
          <w:szCs w:val="28"/>
          <w:shd w:fill="FFFFFF" w:val="clear"/>
          <w:lang w:val="ru-RU" w:eastAsia="ru-RU" w:bidi="ar-SA"/>
        </w:rPr>
        <w:t>104,6-106,5</w:t>
      </w:r>
      <w:r>
        <w:rPr>
          <w:sz w:val="28"/>
          <w:szCs w:val="28"/>
          <w:shd w:fill="FFFFFF" w:val="clear"/>
        </w:rPr>
        <w:t xml:space="preserve"> процента.</w:t>
      </w:r>
      <w:r>
        <w:rPr>
          <w:i/>
          <w:color w:val="FF0000"/>
          <w:sz w:val="28"/>
          <w:szCs w:val="28"/>
          <w:shd w:fill="FFFFFF" w:val="clear"/>
        </w:rPr>
        <w:t xml:space="preserve"> </w:t>
      </w:r>
      <w:r>
        <w:rPr>
          <w:i w:val="false"/>
          <w:iCs w:val="false"/>
          <w:color w:val="000000"/>
          <w:sz w:val="28"/>
          <w:szCs w:val="28"/>
          <w:shd w:fill="FFFFFF" w:val="clear"/>
        </w:rPr>
        <w:t>Т</w:t>
      </w:r>
      <w:r>
        <w:rPr>
          <w:sz w:val="28"/>
          <w:szCs w:val="28"/>
          <w:shd w:fill="FFFFFF" w:val="clear"/>
        </w:rPr>
        <w:t xml:space="preserve">емпы роста в прогнозируемом периоде будут обеспечены за счет реализации инвестиционного проекта на ведущем предприятии данной отрасли - АО «УК «Брянский машиностроительный завод». </w:t>
      </w:r>
      <w:r>
        <w:rPr>
          <w:spacing w:val="2"/>
          <w:sz w:val="28"/>
          <w:szCs w:val="28"/>
          <w:shd w:fill="FFFFFF" w:val="clear"/>
        </w:rPr>
        <w:t xml:space="preserve">Предприятие продолжает серийное производство магистральных тепловозов серии 2ТЭ25КМ для вождения грузовых поездов на железных дорогах  в районах с умеренным климатом, тепловозов серии </w:t>
      </w:r>
      <w:r>
        <w:rPr>
          <w:rFonts w:eastAsia="Times New Roman" w:cs="Times New Roman"/>
          <w:color w:val="000000"/>
          <w:spacing w:val="2"/>
          <w:kern w:val="0"/>
          <w:position w:val="0"/>
          <w:sz w:val="28"/>
          <w:sz w:val="28"/>
          <w:szCs w:val="28"/>
          <w:shd w:fill="FFFFFF" w:val="clear"/>
          <w:vertAlign w:val="baseline"/>
          <w:lang w:val="ru-RU" w:eastAsia="ru-RU" w:bidi="ar-SA"/>
        </w:rPr>
        <w:t xml:space="preserve">3ТЭ25К2М </w:t>
      </w:r>
      <w:r>
        <w:rPr>
          <w:spacing w:val="2"/>
          <w:sz w:val="28"/>
          <w:szCs w:val="28"/>
          <w:shd w:fill="FFFFFF" w:val="clear"/>
        </w:rPr>
        <w:t xml:space="preserve">для эксплуатации в тяжелых климатических условиях на участках со сложным профилем пути и </w:t>
      </w:r>
      <w:r>
        <w:rPr>
          <w:i/>
          <w:color w:val="FF0000"/>
          <w:spacing w:val="2"/>
          <w:sz w:val="28"/>
          <w:szCs w:val="28"/>
          <w:shd w:fill="FFFFFF" w:val="clear"/>
        </w:rPr>
        <w:t xml:space="preserve"> </w:t>
      </w:r>
      <w:r>
        <w:rPr>
          <w:sz w:val="28"/>
          <w:szCs w:val="28"/>
          <w:shd w:fill="FFFFFF" w:val="clear"/>
        </w:rPr>
        <w:t xml:space="preserve">маневровых тепловозов ТЭМ18ДМ. </w:t>
      </w:r>
    </w:p>
    <w:p>
      <w:pPr>
        <w:pStyle w:val="Normal"/>
        <w:ind w:firstLine="709"/>
        <w:jc w:val="both"/>
        <w:rPr>
          <w:shd w:fill="FFFFFF" w:val="clear"/>
        </w:rPr>
      </w:pPr>
      <w:r>
        <w:rPr>
          <w:sz w:val="28"/>
          <w:szCs w:val="28"/>
          <w:shd w:fill="FFFFFF" w:val="clear"/>
        </w:rPr>
        <w:t xml:space="preserve">По виду экономической деятельности «Производство автотранспортных средств, прицепов и полуприцепов» в 2021 году индекс производства оценивается в </w:t>
      </w:r>
      <w:r>
        <w:rPr>
          <w:rFonts w:eastAsia="Times New Roman" w:cs="Times New Roman"/>
          <w:color w:val="000000"/>
          <w:kern w:val="0"/>
          <w:sz w:val="28"/>
          <w:szCs w:val="28"/>
          <w:shd w:fill="FFFFFF" w:val="clear"/>
          <w:lang w:val="ru-RU" w:eastAsia="ru-RU" w:bidi="ar-SA"/>
        </w:rPr>
        <w:t>109,7</w:t>
      </w:r>
      <w:r>
        <w:rPr>
          <w:sz w:val="28"/>
          <w:szCs w:val="28"/>
          <w:shd w:fill="FFFFFF" w:val="clear"/>
        </w:rPr>
        <w:t xml:space="preserve"> процента, в 2022 – 2024 годах прогнозируется в размере </w:t>
      </w:r>
      <w:r>
        <w:rPr>
          <w:rFonts w:eastAsia="Times New Roman" w:cs="Times New Roman"/>
          <w:color w:val="000000"/>
          <w:kern w:val="0"/>
          <w:sz w:val="28"/>
          <w:szCs w:val="28"/>
          <w:shd w:fill="FFFFFF" w:val="clear"/>
          <w:lang w:val="ru-RU" w:eastAsia="ru-RU" w:bidi="ar-SA"/>
        </w:rPr>
        <w:t>105,0-107,0</w:t>
      </w:r>
      <w:r>
        <w:rPr>
          <w:sz w:val="28"/>
          <w:szCs w:val="28"/>
          <w:shd w:fill="FFFFFF" w:val="clear"/>
        </w:rPr>
        <w:t xml:space="preserve"> процентов. </w:t>
      </w:r>
    </w:p>
    <w:p>
      <w:pPr>
        <w:pStyle w:val="Normal"/>
        <w:ind w:firstLine="709"/>
        <w:jc w:val="both"/>
        <w:rPr>
          <w:shd w:fill="FFFFFF" w:val="clear"/>
        </w:rPr>
      </w:pPr>
      <w:r>
        <w:rPr>
          <w:sz w:val="28"/>
          <w:szCs w:val="28"/>
          <w:shd w:fill="FFFFFF" w:val="clear"/>
        </w:rPr>
        <w:t>Ведущие предприятия данного вида экономической деятельности:      АО «Брянский автомобильный завод» - основное российское предприятие по производству специальных колёсных шасси и тягачей высокой проходимости  грузоподъёмностью от 14 до 40 т, ООО «Жуковский веломотозавод» - единственный велозавод России, имеющий максимальную степень локализации и автоматизации производства, и АО «Клинцовский автокрановый завод» - один из крупнейших российских производителей грузоподъемной техники.</w:t>
      </w:r>
    </w:p>
    <w:p>
      <w:pPr>
        <w:pStyle w:val="Normal"/>
        <w:ind w:firstLine="709"/>
        <w:jc w:val="both"/>
        <w:rPr>
          <w:shd w:fill="FFFFFF" w:val="clear"/>
        </w:rPr>
      </w:pPr>
      <w:r>
        <w:rPr>
          <w:rFonts w:eastAsia="Times New Roman" w:cs="Times New Roman"/>
          <w:color w:val="000000"/>
          <w:kern w:val="0"/>
          <w:sz w:val="28"/>
          <w:szCs w:val="28"/>
          <w:shd w:fill="FFFFFF" w:val="clear"/>
          <w:lang w:val="ru-RU" w:eastAsia="ru-RU" w:bidi="ar-SA"/>
        </w:rPr>
        <w:t>У</w:t>
      </w:r>
      <w:r>
        <w:rPr>
          <w:sz w:val="28"/>
          <w:szCs w:val="28"/>
          <w:shd w:fill="FFFFFF" w:val="clear"/>
        </w:rPr>
        <w:t xml:space="preserve">величение спроса на продукцию, выпускаемую предприятиями отрасли, позволит в прогнозируемом периоде </w:t>
      </w:r>
      <w:r>
        <w:rPr>
          <w:rFonts w:eastAsia="Times New Roman" w:cs="Times New Roman"/>
          <w:color w:val="000000"/>
          <w:kern w:val="0"/>
          <w:sz w:val="28"/>
          <w:szCs w:val="28"/>
          <w:shd w:fill="FFFFFF" w:val="clear"/>
          <w:lang w:val="ru-RU" w:eastAsia="ru-RU" w:bidi="ar-SA"/>
        </w:rPr>
        <w:t xml:space="preserve">сохранить </w:t>
      </w:r>
      <w:r>
        <w:rPr>
          <w:sz w:val="28"/>
          <w:szCs w:val="28"/>
          <w:shd w:fill="FFFFFF" w:val="clear"/>
        </w:rPr>
        <w:t xml:space="preserve">рост объемов производства по данному виду деятельности. </w:t>
      </w:r>
    </w:p>
    <w:p>
      <w:pPr>
        <w:pStyle w:val="Normal"/>
        <w:ind w:firstLine="709"/>
        <w:jc w:val="both"/>
        <w:rPr>
          <w:shd w:fill="FFFFFF" w:val="clear"/>
        </w:rPr>
      </w:pPr>
      <w:r>
        <w:rPr>
          <w:sz w:val="28"/>
          <w:szCs w:val="28"/>
          <w:shd w:fill="FFFFFF" w:val="clear"/>
        </w:rPr>
        <w:t xml:space="preserve">По виду экономической деятельности «Производство машин и оборудования, не включенных в другие группировки» в 2021 году индекс производства оценивается в </w:t>
      </w:r>
      <w:r>
        <w:rPr>
          <w:rFonts w:eastAsia="Times New Roman" w:cs="Times New Roman"/>
          <w:color w:val="000000"/>
          <w:kern w:val="0"/>
          <w:sz w:val="28"/>
          <w:szCs w:val="28"/>
          <w:shd w:fill="FFFFFF" w:val="clear"/>
          <w:lang w:val="ru-RU" w:eastAsia="ru-RU" w:bidi="ar-SA"/>
        </w:rPr>
        <w:t>101,8</w:t>
      </w:r>
      <w:r>
        <w:rPr>
          <w:sz w:val="28"/>
          <w:szCs w:val="28"/>
          <w:shd w:fill="FFFFFF" w:val="clear"/>
        </w:rPr>
        <w:t xml:space="preserve"> процента, в 2022 – 2024 годах прогнозируемый индекс производства составит </w:t>
      </w:r>
      <w:r>
        <w:rPr>
          <w:rFonts w:eastAsia="Times New Roman" w:cs="Times New Roman"/>
          <w:color w:val="000000"/>
          <w:kern w:val="0"/>
          <w:sz w:val="28"/>
          <w:szCs w:val="28"/>
          <w:shd w:fill="FFFFFF" w:val="clear"/>
          <w:lang w:val="ru-RU" w:eastAsia="ru-RU" w:bidi="ar-SA"/>
        </w:rPr>
        <w:t>104,3-105,5</w:t>
      </w:r>
      <w:r>
        <w:rPr>
          <w:sz w:val="28"/>
          <w:szCs w:val="28"/>
          <w:shd w:fill="FFFFFF" w:val="clear"/>
        </w:rPr>
        <w:t xml:space="preserve"> процента. </w:t>
      </w:r>
    </w:p>
    <w:p>
      <w:pPr>
        <w:pStyle w:val="Normal"/>
        <w:ind w:firstLine="709"/>
        <w:jc w:val="both"/>
        <w:rPr>
          <w:shd w:fill="FFFFFF" w:val="clear"/>
        </w:rPr>
      </w:pPr>
      <w:r>
        <w:rPr>
          <w:sz w:val="28"/>
          <w:szCs w:val="28"/>
          <w:shd w:fill="FFFFFF" w:val="clear"/>
        </w:rPr>
        <w:t xml:space="preserve">Ведущими предприятиями отрасли являются ЗАО СП «Брянсксельмаш», ЗАО «Брянский Арсенал», АО «Клинцовский завод поршневых колец», ООО «Брянский тракторный завод». </w:t>
      </w:r>
    </w:p>
    <w:p>
      <w:pPr>
        <w:pStyle w:val="Normal"/>
        <w:ind w:firstLine="709"/>
        <w:jc w:val="both"/>
        <w:rPr>
          <w:shd w:fill="FFFFFF" w:val="clear"/>
        </w:rPr>
      </w:pPr>
      <w:r>
        <w:rPr>
          <w:sz w:val="28"/>
          <w:szCs w:val="28"/>
          <w:shd w:fill="FFFFFF" w:val="clear"/>
        </w:rPr>
        <w:t xml:space="preserve">В 2020 году ООО «Брянский тракторный завод» завершил мероприятия по выстраиванию современной сборочной линии, локализации производства. Продукция и производство ООО «Брянский тракторный завод» получили заключение Минпромторга России </w:t>
      </w:r>
      <w:r>
        <w:rPr>
          <w:rFonts w:eastAsia="Times New Roman" w:cs="Times New Roman"/>
          <w:color w:val="000000"/>
          <w:kern w:val="0"/>
          <w:sz w:val="28"/>
          <w:szCs w:val="28"/>
          <w:shd w:fill="FFFFFF" w:val="clear"/>
          <w:lang w:val="ru-RU" w:eastAsia="ru-RU" w:bidi="ar-SA"/>
        </w:rPr>
        <w:t>согласно</w:t>
      </w:r>
      <w:r>
        <w:rPr>
          <w:sz w:val="28"/>
          <w:szCs w:val="28"/>
          <w:shd w:fill="FFFFFF" w:val="clear"/>
        </w:rPr>
        <w:t xml:space="preserve"> постановлению Правительства Российской Федерации от 17 июля 2015 года № 719 «О подтверждении производства промышленной продукции на территории Российской Федерации». </w:t>
      </w:r>
    </w:p>
    <w:p>
      <w:pPr>
        <w:pStyle w:val="Normal"/>
        <w:ind w:firstLine="709"/>
        <w:jc w:val="both"/>
        <w:rPr>
          <w:shd w:fill="FFFFFF" w:val="clear"/>
        </w:rPr>
      </w:pPr>
      <w:r>
        <w:rPr>
          <w:sz w:val="28"/>
          <w:szCs w:val="28"/>
          <w:shd w:fill="FFFFFF" w:val="clear"/>
        </w:rPr>
        <w:t>Темпы роста будут поддерживаться за счет модернизации, расширения производства, а также взаимовыгодного сотрудничества предприятий отрасли с другими регионами России.</w:t>
      </w:r>
    </w:p>
    <w:p>
      <w:pPr>
        <w:pStyle w:val="Normal"/>
        <w:ind w:firstLine="840"/>
        <w:jc w:val="both"/>
        <w:rPr>
          <w:shd w:fill="FFFFFF" w:val="clear"/>
        </w:rPr>
      </w:pPr>
      <w:r>
        <w:rPr>
          <w:sz w:val="28"/>
          <w:szCs w:val="28"/>
          <w:shd w:fill="FFFFFF" w:val="clear"/>
        </w:rPr>
        <w:t>По виду экономической деятельности «Производство компьютеров,  электронных и оптических изделий» в 202</w:t>
      </w:r>
      <w:r>
        <w:rPr>
          <w:rFonts w:eastAsia="Times New Roman" w:cs="Times New Roman"/>
          <w:color w:val="000000"/>
          <w:kern w:val="0"/>
          <w:sz w:val="28"/>
          <w:szCs w:val="28"/>
          <w:shd w:fill="FFFFFF" w:val="clear"/>
          <w:lang w:val="ru-RU" w:eastAsia="ru-RU" w:bidi="ar-SA"/>
        </w:rPr>
        <w:t>1</w:t>
      </w:r>
      <w:r>
        <w:rPr>
          <w:sz w:val="28"/>
          <w:szCs w:val="28"/>
          <w:shd w:fill="FFFFFF" w:val="clear"/>
        </w:rPr>
        <w:t xml:space="preserve"> году индекс производства оценивается в </w:t>
      </w:r>
      <w:r>
        <w:rPr>
          <w:rFonts w:eastAsia="Times New Roman" w:cs="Times New Roman"/>
          <w:color w:val="000000"/>
          <w:kern w:val="0"/>
          <w:sz w:val="28"/>
          <w:szCs w:val="28"/>
          <w:shd w:fill="FFFFFF" w:val="clear"/>
          <w:lang w:val="ru-RU" w:eastAsia="ru-RU" w:bidi="ar-SA"/>
        </w:rPr>
        <w:t>107,0</w:t>
      </w:r>
      <w:r>
        <w:rPr>
          <w:sz w:val="28"/>
          <w:szCs w:val="28"/>
          <w:shd w:fill="FFFFFF" w:val="clear"/>
        </w:rPr>
        <w:t xml:space="preserve"> процентов, в 202</w:t>
      </w:r>
      <w:r>
        <w:rPr>
          <w:rFonts w:eastAsia="Times New Roman" w:cs="Times New Roman"/>
          <w:color w:val="000000"/>
          <w:kern w:val="0"/>
          <w:sz w:val="28"/>
          <w:szCs w:val="28"/>
          <w:shd w:fill="FFFFFF" w:val="clear"/>
          <w:lang w:val="ru-RU" w:eastAsia="ru-RU" w:bidi="ar-SA"/>
        </w:rPr>
        <w:t>2</w:t>
      </w:r>
      <w:r>
        <w:rPr>
          <w:sz w:val="28"/>
          <w:szCs w:val="28"/>
          <w:shd w:fill="FFFFFF" w:val="clear"/>
        </w:rPr>
        <w:t xml:space="preserve"> – 2024 годах прогнозируемый индекс производства составит 105,5-106,5 процента. </w:t>
      </w:r>
    </w:p>
    <w:p>
      <w:pPr>
        <w:pStyle w:val="NormalWeb"/>
        <w:spacing w:beforeAutospacing="0" w:before="0" w:afterAutospacing="0" w:after="0"/>
        <w:ind w:firstLine="708"/>
        <w:jc w:val="both"/>
        <w:rPr>
          <w:shd w:fill="FFFFFF" w:val="clear"/>
        </w:rPr>
      </w:pPr>
      <w:r>
        <w:rPr>
          <w:sz w:val="28"/>
          <w:szCs w:val="28"/>
          <w:shd w:fill="FFFFFF" w:val="clear"/>
        </w:rPr>
        <w:t>К этому виду деятельности относятся почти все предприятия, входящие в оборонно-промышленный комплекс области, крупнейшие из них:</w:t>
      </w:r>
    </w:p>
    <w:p>
      <w:pPr>
        <w:pStyle w:val="NormalWeb"/>
        <w:spacing w:beforeAutospacing="0" w:before="0" w:afterAutospacing="0" w:after="0"/>
        <w:ind w:firstLine="708"/>
        <w:jc w:val="both"/>
        <w:rPr>
          <w:shd w:fill="FFFFFF" w:val="clear"/>
        </w:rPr>
      </w:pPr>
      <w:r>
        <w:rPr>
          <w:sz w:val="28"/>
          <w:szCs w:val="28"/>
          <w:shd w:fill="FFFFFF" w:val="clear"/>
        </w:rPr>
        <w:t xml:space="preserve">АО «Группа Кремний ЭЛ» - одно из </w:t>
      </w:r>
      <w:r>
        <w:rPr>
          <w:rFonts w:eastAsia="Times New Roman" w:cs="Times New Roman"/>
          <w:color w:val="000000"/>
          <w:kern w:val="0"/>
          <w:sz w:val="28"/>
          <w:szCs w:val="28"/>
          <w:shd w:fill="FFFFFF" w:val="clear"/>
          <w:lang w:val="ru-RU" w:eastAsia="ru-RU" w:bidi="ar-SA"/>
        </w:rPr>
        <w:t>ведущих</w:t>
      </w:r>
      <w:r>
        <w:rPr>
          <w:sz w:val="28"/>
          <w:szCs w:val="28"/>
          <w:shd w:fill="FFFFFF" w:val="clear"/>
        </w:rPr>
        <w:t xml:space="preserve"> предприятий России по выпуску изделий микроэлектроники для Минобороны России, </w:t>
      </w:r>
    </w:p>
    <w:p>
      <w:pPr>
        <w:pStyle w:val="NormalWeb"/>
        <w:spacing w:beforeAutospacing="0" w:before="0" w:afterAutospacing="0" w:after="0"/>
        <w:ind w:firstLine="708"/>
        <w:jc w:val="both"/>
        <w:rPr>
          <w:shd w:fill="FFFFFF" w:val="clear"/>
        </w:rPr>
      </w:pPr>
      <w:r>
        <w:rPr>
          <w:sz w:val="28"/>
          <w:szCs w:val="28"/>
          <w:shd w:fill="FFFFFF" w:val="clear"/>
        </w:rPr>
        <w:t xml:space="preserve">АО «Брянский электромеханический завод», имеющее все необходимые виды производств, обеспечивающих полный технологический цикл производства и ремонта изделий радиоэлектронного назначения и их составных частей, </w:t>
      </w:r>
    </w:p>
    <w:p>
      <w:pPr>
        <w:pStyle w:val="NormalWeb"/>
        <w:spacing w:beforeAutospacing="0" w:before="0" w:afterAutospacing="0" w:after="0"/>
        <w:ind w:firstLine="708"/>
        <w:jc w:val="both"/>
        <w:rPr>
          <w:shd w:fill="FFFFFF" w:val="clear"/>
        </w:rPr>
      </w:pPr>
      <w:r>
        <w:rPr>
          <w:sz w:val="28"/>
          <w:szCs w:val="28"/>
          <w:shd w:fill="FFFFFF" w:val="clear"/>
        </w:rPr>
        <w:t xml:space="preserve">АО «Карачевский завод «Электродеталь» - одно из </w:t>
      </w:r>
      <w:r>
        <w:rPr>
          <w:rFonts w:eastAsia="Times New Roman" w:cs="Times New Roman"/>
          <w:color w:val="000000"/>
          <w:kern w:val="0"/>
          <w:sz w:val="28"/>
          <w:szCs w:val="28"/>
          <w:shd w:fill="FFFFFF" w:val="clear"/>
          <w:lang w:val="ru-RU" w:eastAsia="ru-RU" w:bidi="ar-SA"/>
        </w:rPr>
        <w:t>ведущих</w:t>
      </w:r>
      <w:r>
        <w:rPr>
          <w:sz w:val="28"/>
          <w:szCs w:val="28"/>
          <w:shd w:fill="FFFFFF" w:val="clear"/>
        </w:rPr>
        <w:t xml:space="preserve"> предприятий по разработке и производству прямоугольных соединителей.</w:t>
      </w:r>
    </w:p>
    <w:p>
      <w:pPr>
        <w:pStyle w:val="NormalWeb"/>
        <w:spacing w:beforeAutospacing="0" w:before="0" w:afterAutospacing="0" w:after="0"/>
        <w:ind w:firstLine="708"/>
        <w:jc w:val="both"/>
        <w:rPr>
          <w:shd w:fill="FFFFFF" w:val="clear"/>
        </w:rPr>
      </w:pPr>
      <w:r>
        <w:rPr>
          <w:sz w:val="28"/>
          <w:szCs w:val="28"/>
          <w:shd w:fill="FFFFFF" w:val="clear"/>
        </w:rPr>
        <w:t>Рост объемов производства по данному виду деятельности в 2022 – 2024 годах прогнозируется за счет реализации проектов по производству продукции гражданского или двойного назначения.</w:t>
      </w:r>
    </w:p>
    <w:p>
      <w:pPr>
        <w:pStyle w:val="NormalWeb"/>
        <w:spacing w:beforeAutospacing="0" w:before="0" w:afterAutospacing="0" w:after="0"/>
        <w:ind w:firstLine="708"/>
        <w:jc w:val="both"/>
        <w:rPr>
          <w:shd w:fill="FFFFFF" w:val="clear"/>
        </w:rPr>
      </w:pPr>
      <w:r>
        <w:rPr>
          <w:sz w:val="28"/>
          <w:szCs w:val="28"/>
          <w:shd w:fill="FFFFFF" w:val="clear"/>
        </w:rPr>
        <w:t xml:space="preserve">По виду экономической деятельности «Производство металлургическое» индекс производства в 2021 году оценивается в </w:t>
      </w:r>
      <w:r>
        <w:rPr>
          <w:rFonts w:eastAsia="Times New Roman" w:cs="Times New Roman"/>
          <w:color w:val="000000"/>
          <w:kern w:val="0"/>
          <w:sz w:val="28"/>
          <w:szCs w:val="28"/>
          <w:shd w:fill="FFFFFF" w:val="clear"/>
          <w:lang w:val="ru-RU" w:eastAsia="ru-RU" w:bidi="ar-SA"/>
        </w:rPr>
        <w:t>95,0</w:t>
      </w:r>
      <w:r>
        <w:rPr>
          <w:sz w:val="28"/>
          <w:szCs w:val="28"/>
          <w:shd w:fill="FFFFFF" w:val="clear"/>
        </w:rPr>
        <w:t xml:space="preserve"> процентов, в 2022-2024 годах прогнозируется в размере 101,1-102,4 процента.</w:t>
      </w:r>
    </w:p>
    <w:p>
      <w:pPr>
        <w:pStyle w:val="Normal"/>
        <w:ind w:firstLine="709"/>
        <w:jc w:val="both"/>
        <w:rPr>
          <w:shd w:fill="FFFFFF" w:val="clear"/>
        </w:rPr>
      </w:pPr>
      <w:r>
        <w:rPr>
          <w:sz w:val="28"/>
          <w:szCs w:val="28"/>
          <w:shd w:fill="FFFFFF" w:val="clear"/>
        </w:rPr>
        <w:t>Ведущее предприятие отрасли АО «ПО «Бежицкая сталь» (входит в состав ЗАО «Трансмашхолдинг») - один  из самых крупных производителей и поставщиков вагонного литья в России. Потребителями продукции являются крупнейшие вагоностроительные и вагоноремонтные предприятия в России и за рубежом. Причиной снижения промышленного производства в 202</w:t>
      </w:r>
      <w:r>
        <w:rPr>
          <w:rFonts w:eastAsia="Times New Roman" w:cs="Times New Roman"/>
          <w:color w:val="000000"/>
          <w:kern w:val="0"/>
          <w:sz w:val="28"/>
          <w:szCs w:val="28"/>
          <w:shd w:fill="FFFFFF" w:val="clear"/>
          <w:lang w:val="ru-RU" w:eastAsia="ru-RU" w:bidi="ar-SA"/>
        </w:rPr>
        <w:t>1</w:t>
      </w:r>
      <w:r>
        <w:rPr>
          <w:sz w:val="28"/>
          <w:szCs w:val="28"/>
          <w:shd w:fill="FFFFFF" w:val="clear"/>
        </w:rPr>
        <w:t xml:space="preserve"> году стало падение спроса на рынке вагоностроения.</w:t>
      </w:r>
    </w:p>
    <w:p>
      <w:pPr>
        <w:pStyle w:val="NormalWeb"/>
        <w:spacing w:beforeAutospacing="0" w:before="0" w:afterAutospacing="0" w:after="0"/>
        <w:ind w:firstLine="708"/>
        <w:jc w:val="both"/>
        <w:rPr>
          <w:shd w:fill="FFFFFF" w:val="clear"/>
        </w:rPr>
      </w:pPr>
      <w:r>
        <w:rPr>
          <w:sz w:val="28"/>
          <w:szCs w:val="28"/>
          <w:shd w:fill="FFFFFF" w:val="clear"/>
        </w:rPr>
        <w:t>ООО «</w:t>
      </w:r>
      <w:r>
        <w:rPr>
          <w:bCs/>
          <w:sz w:val="28"/>
          <w:szCs w:val="28"/>
          <w:shd w:fill="FFFFFF" w:val="clear"/>
        </w:rPr>
        <w:t xml:space="preserve">Унечский завод тугоплавких металлов» - экологически безопасное, высокотехнологичное предприятие с полным циклом производства, что является беспрецедентным для российской промышленности вольфрама. </w:t>
      </w:r>
    </w:p>
    <w:p>
      <w:pPr>
        <w:pStyle w:val="Normal"/>
        <w:ind w:firstLine="709"/>
        <w:jc w:val="both"/>
        <w:rPr/>
      </w:pPr>
      <w:r>
        <w:rPr>
          <w:rStyle w:val="Style10"/>
          <w:bCs/>
          <w:iCs/>
          <w:color w:val="000000"/>
          <w:sz w:val="28"/>
          <w:szCs w:val="28"/>
          <w:shd w:fill="FFFFFF" w:val="clear"/>
        </w:rPr>
        <w:t xml:space="preserve">По виду деятельности «Обработка древесины и производство изделий из дерева и пробки, кроме мебели» индекс производства в 2021 году оценивается в </w:t>
      </w:r>
      <w:r>
        <w:rPr>
          <w:rStyle w:val="Style10"/>
          <w:rFonts w:eastAsia="Times New Roman" w:cs="Times New Roman"/>
          <w:bCs/>
          <w:iCs/>
          <w:color w:val="000000"/>
          <w:kern w:val="0"/>
          <w:sz w:val="28"/>
          <w:szCs w:val="28"/>
          <w:shd w:fill="FFFFFF" w:val="clear"/>
          <w:lang w:val="ru-RU" w:eastAsia="ru-RU" w:bidi="ar-SA"/>
        </w:rPr>
        <w:t>112,0</w:t>
      </w:r>
      <w:r>
        <w:rPr>
          <w:rStyle w:val="Style10"/>
          <w:bCs/>
          <w:iCs/>
          <w:color w:val="000000"/>
          <w:sz w:val="28"/>
          <w:szCs w:val="28"/>
          <w:shd w:fill="FFFFFF" w:val="clear"/>
        </w:rPr>
        <w:t xml:space="preserve"> процентов, в 2022 - 2024 годах прогнозируется в </w:t>
      </w:r>
      <w:r>
        <w:rPr>
          <w:rStyle w:val="Style10"/>
          <w:rFonts w:eastAsia="Times New Roman" w:cs="Times New Roman"/>
          <w:bCs/>
          <w:iCs/>
          <w:color w:val="000000"/>
          <w:kern w:val="0"/>
          <w:sz w:val="28"/>
          <w:szCs w:val="28"/>
          <w:shd w:fill="FFFFFF" w:val="clear"/>
          <w:lang w:val="ru-RU" w:eastAsia="ru-RU" w:bidi="ar-SA"/>
        </w:rPr>
        <w:t>101,8-</w:t>
      </w:r>
      <w:r>
        <w:rPr>
          <w:rStyle w:val="Style10"/>
          <w:bCs/>
          <w:iCs/>
          <w:color w:val="000000"/>
          <w:sz w:val="28"/>
          <w:szCs w:val="28"/>
          <w:shd w:fill="FFFFFF" w:val="clear"/>
        </w:rPr>
        <w:t xml:space="preserve"> 103,0 процента за счет стабильной работы основных предприятий отрасли (ООО «Дятьково-ДОЗ», ООО «Транслес»). </w:t>
      </w:r>
    </w:p>
    <w:p>
      <w:pPr>
        <w:pStyle w:val="Normal"/>
        <w:ind w:firstLine="709"/>
        <w:jc w:val="both"/>
        <w:rPr>
          <w:shd w:fill="FFFFFF" w:val="clear"/>
        </w:rPr>
      </w:pPr>
      <w:r>
        <w:rPr>
          <w:sz w:val="28"/>
          <w:szCs w:val="28"/>
          <w:shd w:fill="FFFFFF" w:val="clear"/>
        </w:rPr>
        <w:t xml:space="preserve">ООО «Дятьково-ДОЗ» располагает собственными технологическими мощностями, обеспечивающими полный цикл производства –  от лесозаготовок до реализации готовой продукции.  </w:t>
      </w:r>
      <w:r>
        <w:rPr>
          <w:rFonts w:eastAsia="Times New Roman" w:cs="Times New Roman"/>
          <w:color w:val="000000"/>
          <w:kern w:val="0"/>
          <w:sz w:val="28"/>
          <w:szCs w:val="28"/>
          <w:shd w:fill="FFFFFF" w:val="clear"/>
          <w:lang w:val="ru-RU" w:eastAsia="ru-RU" w:bidi="ar-SA"/>
        </w:rPr>
        <w:t>Оно</w:t>
      </w:r>
      <w:r>
        <w:rPr>
          <w:sz w:val="28"/>
          <w:szCs w:val="28"/>
          <w:shd w:fill="FFFFFF" w:val="clear"/>
        </w:rPr>
        <w:t xml:space="preserve"> является одним из крупнейших на российском рынке производителей и поставщиков ламинированных древесностружечных плит и других качественных материалов для корпусной, офисной и мягкой мебели. </w:t>
      </w:r>
    </w:p>
    <w:p>
      <w:pPr>
        <w:pStyle w:val="Normal"/>
        <w:ind w:firstLine="709"/>
        <w:jc w:val="both"/>
        <w:rPr>
          <w:shd w:fill="FFFFFF" w:val="clear"/>
        </w:rPr>
      </w:pPr>
      <w:r>
        <w:rPr>
          <w:sz w:val="28"/>
          <w:szCs w:val="28"/>
          <w:shd w:fill="FFFFFF" w:val="clear"/>
        </w:rPr>
        <w:t xml:space="preserve">По виду экономической деятельности «Производство бумаги и бумажных изделий» в 2021 году индекс производства оценивается в </w:t>
      </w:r>
      <w:r>
        <w:rPr>
          <w:rFonts w:eastAsia="Times New Roman" w:cs="Times New Roman"/>
          <w:color w:val="000000"/>
          <w:kern w:val="0"/>
          <w:sz w:val="28"/>
          <w:szCs w:val="28"/>
          <w:shd w:fill="FFFFFF" w:val="clear"/>
          <w:lang w:val="ru-RU" w:eastAsia="ru-RU" w:bidi="ar-SA"/>
        </w:rPr>
        <w:t>101,0</w:t>
      </w:r>
      <w:r>
        <w:rPr>
          <w:sz w:val="28"/>
          <w:szCs w:val="28"/>
          <w:shd w:fill="FFFFFF" w:val="clear"/>
        </w:rPr>
        <w:t xml:space="preserve"> процент, в 2022-2024 годах прогнозируется в </w:t>
      </w:r>
      <w:r>
        <w:rPr>
          <w:rFonts w:eastAsia="Times New Roman" w:cs="Times New Roman"/>
          <w:color w:val="000000"/>
          <w:kern w:val="0"/>
          <w:sz w:val="28"/>
          <w:szCs w:val="28"/>
          <w:shd w:fill="FFFFFF" w:val="clear"/>
          <w:lang w:val="ru-RU" w:eastAsia="ru-RU" w:bidi="ar-SA"/>
        </w:rPr>
        <w:t>102,5-103,5</w:t>
      </w:r>
      <w:r>
        <w:rPr>
          <w:sz w:val="28"/>
          <w:szCs w:val="28"/>
          <w:shd w:fill="FFFFFF" w:val="clear"/>
        </w:rPr>
        <w:t xml:space="preserve"> процента. Ведущее предприятие отрасли - АО «Пролетарий» реализует инвестиционные проекты по строительству цеха по производству гофрокартона, модернизации КДМ  № 5 для увеличения выпуска картона и реконструкции участка переработки гофропроизводства. Реализация проектов позволит увеличить объемы производства в отрасли в прогнозируемом периоде.</w:t>
      </w:r>
    </w:p>
    <w:p>
      <w:pPr>
        <w:pStyle w:val="Normal"/>
        <w:ind w:firstLine="709"/>
        <w:jc w:val="both"/>
        <w:rPr>
          <w:shd w:fill="FFFFFF" w:val="clear"/>
        </w:rPr>
      </w:pPr>
      <w:r>
        <w:rPr>
          <w:sz w:val="28"/>
          <w:szCs w:val="28"/>
          <w:shd w:fill="FFFFFF" w:val="clear"/>
        </w:rPr>
        <w:t xml:space="preserve">По виду экономической деятельности «Производство прочей неметаллической минеральной продукции», к которому относятся предприятия стройиндустрии, индекс производства в 2021 году оценивается в 100,1 процента, в прогнозируемом периоде он составит </w:t>
      </w:r>
      <w:r>
        <w:rPr>
          <w:rFonts w:eastAsia="Times New Roman" w:cs="Times New Roman"/>
          <w:color w:val="000000"/>
          <w:kern w:val="0"/>
          <w:sz w:val="28"/>
          <w:szCs w:val="28"/>
          <w:shd w:fill="FFFFFF" w:val="clear"/>
          <w:lang w:val="ru-RU" w:eastAsia="ru-RU" w:bidi="ar-SA"/>
        </w:rPr>
        <w:t>103,5</w:t>
      </w:r>
      <w:r>
        <w:rPr>
          <w:sz w:val="28"/>
          <w:szCs w:val="28"/>
          <w:shd w:fill="FFFFFF" w:val="clear"/>
        </w:rPr>
        <w:t xml:space="preserve"> -104,5 процента, что связано с увеличением объемов строительства и реализацией инфраструктурных проектов в регионе. Ведущие предприятия отрасли: АО «Мальцовский портландцемент» - крупнейший производитель цемента в Ц</w:t>
      </w:r>
      <w:r>
        <w:rPr>
          <w:rFonts w:eastAsia="Times New Roman" w:cs="Times New Roman"/>
          <w:color w:val="000000"/>
          <w:kern w:val="0"/>
          <w:sz w:val="28"/>
          <w:szCs w:val="28"/>
          <w:shd w:fill="FFFFFF" w:val="clear"/>
          <w:lang w:val="ru-RU" w:eastAsia="ru-RU" w:bidi="ar-SA"/>
        </w:rPr>
        <w:t>ентральном</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федеральном</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округе и</w:t>
      </w:r>
      <w:r>
        <w:rPr>
          <w:sz w:val="28"/>
          <w:szCs w:val="28"/>
          <w:shd w:fill="FFFFFF" w:val="clear"/>
        </w:rPr>
        <w:t xml:space="preserve"> ЗАО «Клинцовский силикатный завод» - </w:t>
      </w:r>
      <w:r>
        <w:rPr>
          <w:rFonts w:eastAsia="Times New Roman" w:cs="Times New Roman"/>
          <w:color w:val="000000"/>
          <w:kern w:val="0"/>
          <w:sz w:val="28"/>
          <w:szCs w:val="28"/>
          <w:shd w:fill="FFFFFF" w:val="clear"/>
          <w:lang w:val="ru-RU" w:eastAsia="ru-RU" w:bidi="ar-SA"/>
        </w:rPr>
        <w:t>одно</w:t>
      </w:r>
      <w:r>
        <w:rPr>
          <w:sz w:val="28"/>
          <w:szCs w:val="28"/>
          <w:shd w:fill="FFFFFF" w:val="clear"/>
        </w:rPr>
        <w:t xml:space="preserve"> из ключевых направлений деятельности, которого является производство газобетона EuroBlock и негашеной извести EuroLime. </w:t>
      </w:r>
    </w:p>
    <w:p>
      <w:pPr>
        <w:pStyle w:val="Normal"/>
        <w:ind w:firstLine="709"/>
        <w:jc w:val="both"/>
        <w:rPr/>
      </w:pPr>
      <w:r>
        <w:rPr>
          <w:rStyle w:val="Style10"/>
          <w:color w:val="000000"/>
          <w:sz w:val="28"/>
          <w:szCs w:val="28"/>
          <w:shd w:fill="FFFFFF" w:val="clear"/>
        </w:rPr>
        <w:t xml:space="preserve">Одной из ведущих в обрабатывающем секторе промышленности области в настоящее время является </w:t>
      </w:r>
      <w:r>
        <w:rPr>
          <w:rStyle w:val="Style10"/>
          <w:bCs/>
          <w:iCs/>
          <w:color w:val="000000"/>
          <w:sz w:val="28"/>
          <w:szCs w:val="28"/>
          <w:shd w:fill="FFFFFF" w:val="clear"/>
        </w:rPr>
        <w:t>пищевая отрасль</w:t>
      </w:r>
      <w:r>
        <w:rPr>
          <w:rStyle w:val="Style10"/>
          <w:color w:val="000000"/>
          <w:sz w:val="28"/>
          <w:szCs w:val="28"/>
          <w:shd w:fill="FFFFFF" w:val="clear"/>
        </w:rPr>
        <w:t xml:space="preserve">. </w:t>
      </w:r>
      <w:r>
        <w:rPr>
          <w:sz w:val="28"/>
          <w:szCs w:val="28"/>
          <w:shd w:fill="FFFFFF" w:val="clear"/>
        </w:rPr>
        <w:t>Индекс производства по виду деятельности «Производство пищевых продуктов» в 2021 году оценивается в 105</w:t>
      </w:r>
      <w:r>
        <w:rPr>
          <w:rFonts w:eastAsia="Times New Roman" w:cs="Times New Roman"/>
          <w:color w:val="000000"/>
          <w:kern w:val="0"/>
          <w:sz w:val="28"/>
          <w:szCs w:val="28"/>
          <w:shd w:fill="FFFFFF" w:val="clear"/>
          <w:lang w:val="ru-RU" w:eastAsia="ru-RU" w:bidi="ar-SA"/>
        </w:rPr>
        <w:t>,0</w:t>
      </w:r>
      <w:r>
        <w:rPr>
          <w:sz w:val="28"/>
          <w:szCs w:val="28"/>
          <w:shd w:fill="FFFFFF" w:val="clear"/>
        </w:rPr>
        <w:t xml:space="preserve"> процентов, в прогнозируемом периоде составит </w:t>
      </w:r>
      <w:r>
        <w:rPr>
          <w:rFonts w:eastAsia="Times New Roman" w:cs="Times New Roman"/>
          <w:color w:val="000000"/>
          <w:kern w:val="0"/>
          <w:sz w:val="28"/>
          <w:szCs w:val="28"/>
          <w:shd w:fill="FFFFFF" w:val="clear"/>
          <w:lang w:val="ru-RU" w:eastAsia="ru-RU" w:bidi="ar-SA"/>
        </w:rPr>
        <w:t>105,5</w:t>
      </w:r>
      <w:r>
        <w:rPr>
          <w:sz w:val="28"/>
          <w:szCs w:val="28"/>
          <w:shd w:fill="FFFFFF" w:val="clear"/>
        </w:rPr>
        <w:t>-</w:t>
      </w:r>
      <w:r>
        <w:rPr>
          <w:rFonts w:eastAsia="Times New Roman" w:cs="Times New Roman"/>
          <w:color w:val="000000"/>
          <w:kern w:val="0"/>
          <w:sz w:val="28"/>
          <w:szCs w:val="28"/>
          <w:shd w:fill="FFFFFF" w:val="clear"/>
          <w:lang w:val="ru-RU" w:eastAsia="ru-RU" w:bidi="ar-SA"/>
        </w:rPr>
        <w:t>106,0</w:t>
      </w:r>
      <w:r>
        <w:rPr>
          <w:sz w:val="28"/>
          <w:szCs w:val="28"/>
          <w:shd w:fill="FFFFFF" w:val="clear"/>
        </w:rPr>
        <w:t xml:space="preserve"> процентов.</w:t>
      </w:r>
      <w:r>
        <w:rPr>
          <w:i/>
          <w:sz w:val="28"/>
          <w:szCs w:val="28"/>
          <w:shd w:fill="FFFFFF" w:val="clear"/>
        </w:rPr>
        <w:t xml:space="preserve">  </w:t>
      </w:r>
    </w:p>
    <w:p>
      <w:pPr>
        <w:pStyle w:val="Normal"/>
        <w:ind w:firstLine="709"/>
        <w:jc w:val="both"/>
        <w:rPr>
          <w:shd w:fill="FFFFFF" w:val="clear"/>
        </w:rPr>
      </w:pPr>
      <w:r>
        <w:rPr>
          <w:sz w:val="28"/>
          <w:szCs w:val="28"/>
          <w:shd w:fill="FFFFFF" w:val="clear"/>
        </w:rPr>
        <w:t xml:space="preserve">Доля предприятий, выпускающих пищевые продукты, в общем объеме отгруженной продукции обрабатывающих производств составляет </w:t>
      </w:r>
      <w:r>
        <w:rPr>
          <w:rFonts w:eastAsia="Times New Roman" w:cs="Times New Roman"/>
          <w:color w:val="000000"/>
          <w:kern w:val="0"/>
          <w:sz w:val="28"/>
          <w:szCs w:val="28"/>
          <w:shd w:fill="FFFFFF" w:val="clear"/>
          <w:lang w:val="ru-RU" w:eastAsia="ru-RU" w:bidi="ar-SA"/>
        </w:rPr>
        <w:t>более 43,0 процентов</w:t>
      </w:r>
      <w:r>
        <w:rPr>
          <w:sz w:val="28"/>
          <w:szCs w:val="28"/>
          <w:shd w:fill="FFFFFF" w:val="clear"/>
        </w:rPr>
        <w:t xml:space="preserve">. Активное развитие пищевой промышленности – это следствие интенсивного развития сельского хозяйства региона. </w:t>
      </w:r>
    </w:p>
    <w:p>
      <w:pPr>
        <w:pStyle w:val="Normal"/>
        <w:ind w:firstLine="709"/>
        <w:jc w:val="both"/>
        <w:rPr>
          <w:shd w:fill="FFFFFF" w:val="clear"/>
        </w:rPr>
      </w:pPr>
      <w:r>
        <w:rPr>
          <w:rFonts w:cs="Times New Roman"/>
          <w:sz w:val="28"/>
          <w:szCs w:val="28"/>
          <w:shd w:fill="FFFFFF" w:val="clear"/>
        </w:rPr>
        <w:t xml:space="preserve">В области работают пять мясоперерабатывающих предприятий и три птицеперерабатывающих предприятия, а также цеха по убою и переработке мяса скота и птицы (ООО «Брянская мясная компания», ООО «Брянский бройлер», АО «Куриное Царство», ООО «Брянский мясоперерабатывающий комбинат», ООО «Дружба»).  </w:t>
      </w:r>
    </w:p>
    <w:p>
      <w:pPr>
        <w:pStyle w:val="Normal"/>
        <w:spacing w:lineRule="auto" w:line="240" w:before="0" w:after="0"/>
        <w:ind w:firstLine="708"/>
        <w:jc w:val="both"/>
        <w:rPr>
          <w:shd w:fill="FFFFFF" w:val="clear"/>
        </w:rPr>
      </w:pPr>
      <w:r>
        <w:rPr>
          <w:rFonts w:cs="Times New Roman"/>
          <w:sz w:val="28"/>
          <w:szCs w:val="28"/>
          <w:shd w:fill="FFFFFF" w:val="clear"/>
        </w:rPr>
        <w:t xml:space="preserve">Молокоперерабатывающая отрасль представлена 16 предприятиями. Многие предприятия реализуют инвестиционные проекты (ОАО «Брянский гормолзавод», ОАО «Брянский молочный комбинат», ТнВ «Сыр Стародубский», ООО «Брянская зерновая компания», ООО «Трубчевский молочный комбинат», АО «Погарская картофельная фабрика», АО «Унагранде Компани»). Крупнейшие сыродельные предприятия: ТнВ «Сыр Стародубский» - перерабатывает до 50 процентов молока; АО «Унагранде Компани» - осуществляет экспортные поставки своей продукции в страны СНГ (Молдову) и ЕАЭС (Армению, Республику Беларусь, Казахстан). </w:t>
      </w:r>
    </w:p>
    <w:p>
      <w:pPr>
        <w:pStyle w:val="Normal"/>
        <w:ind w:firstLine="709"/>
        <w:jc w:val="both"/>
        <w:rPr>
          <w:shd w:fill="FFFFFF" w:val="clear"/>
        </w:rPr>
      </w:pPr>
      <w:r>
        <w:rPr>
          <w:sz w:val="28"/>
          <w:szCs w:val="28"/>
          <w:shd w:fill="FFFFFF" w:val="clear"/>
        </w:rPr>
        <w:t xml:space="preserve">Объем отгруженных товаров собственного производства, выполненных работ и услуг по предприятиям вида деятельности «Обеспечение электрической энергией, газом и паром; кондиционирование воздуха» в 2021  году оценивается в </w:t>
      </w:r>
      <w:r>
        <w:rPr>
          <w:rFonts w:eastAsia="Times New Roman" w:cs="Times New Roman"/>
          <w:color w:val="000000"/>
          <w:kern w:val="0"/>
          <w:sz w:val="28"/>
          <w:szCs w:val="28"/>
          <w:shd w:fill="FFFFFF" w:val="clear"/>
          <w:lang w:val="ru-RU" w:eastAsia="ru-RU" w:bidi="ar-SA"/>
        </w:rPr>
        <w:t>20,5</w:t>
      </w:r>
      <w:r>
        <w:rPr>
          <w:sz w:val="28"/>
          <w:szCs w:val="28"/>
          <w:shd w:fill="FFFFFF" w:val="clear"/>
        </w:rPr>
        <w:t xml:space="preserve"> млрд. рублей, индекс производства – </w:t>
      </w:r>
      <w:r>
        <w:rPr>
          <w:rFonts w:eastAsia="Times New Roman" w:cs="Times New Roman"/>
          <w:color w:val="000000"/>
          <w:kern w:val="0"/>
          <w:sz w:val="28"/>
          <w:szCs w:val="28"/>
          <w:shd w:fill="FFFFFF" w:val="clear"/>
          <w:lang w:val="ru-RU" w:eastAsia="ru-RU" w:bidi="ar-SA"/>
        </w:rPr>
        <w:t>111,0</w:t>
      </w:r>
      <w:r>
        <w:rPr>
          <w:sz w:val="28"/>
          <w:szCs w:val="28"/>
          <w:shd w:fill="FFFFFF" w:val="clear"/>
        </w:rPr>
        <w:t xml:space="preserve"> процентов. В 2022-2024  годах прогнозируется индекс промышленного производства </w:t>
      </w:r>
      <w:r>
        <w:rPr>
          <w:rFonts w:eastAsia="Times New Roman" w:cs="Times New Roman"/>
          <w:color w:val="000000"/>
          <w:kern w:val="0"/>
          <w:sz w:val="28"/>
          <w:szCs w:val="28"/>
          <w:shd w:fill="FFFFFF" w:val="clear"/>
          <w:lang w:val="ru-RU" w:eastAsia="ru-RU" w:bidi="ar-SA"/>
        </w:rPr>
        <w:t>104,0</w:t>
      </w:r>
      <w:r>
        <w:rPr>
          <w:sz w:val="28"/>
          <w:szCs w:val="28"/>
          <w:shd w:fill="FFFFFF" w:val="clear"/>
        </w:rPr>
        <w:t xml:space="preserve">-104,5 процента. Объем отгруженной продукции по данному виду экономической деятельности в 2022 году составит </w:t>
      </w:r>
      <w:r>
        <w:rPr>
          <w:rFonts w:eastAsia="Times New Roman" w:cs="Times New Roman"/>
          <w:color w:val="000000"/>
          <w:kern w:val="0"/>
          <w:sz w:val="28"/>
          <w:szCs w:val="28"/>
          <w:shd w:fill="FFFFFF" w:val="clear"/>
          <w:lang w:val="ru-RU" w:eastAsia="ru-RU" w:bidi="ar-SA"/>
        </w:rPr>
        <w:t>22,1</w:t>
      </w:r>
      <w:r>
        <w:rPr>
          <w:sz w:val="28"/>
          <w:szCs w:val="28"/>
          <w:shd w:fill="FFFFFF" w:val="clear"/>
        </w:rPr>
        <w:t xml:space="preserve"> млрд. рублей, в 2023 году — 24,0 млрд. рублей, в 2024 году – </w:t>
      </w:r>
      <w:r>
        <w:rPr>
          <w:rFonts w:eastAsia="Times New Roman" w:cs="Times New Roman"/>
          <w:color w:val="000000"/>
          <w:kern w:val="0"/>
          <w:sz w:val="28"/>
          <w:szCs w:val="28"/>
          <w:shd w:fill="FFFFFF" w:val="clear"/>
          <w:lang w:val="ru-RU" w:eastAsia="ru-RU" w:bidi="ar-SA"/>
        </w:rPr>
        <w:t xml:space="preserve">26,1 </w:t>
      </w:r>
      <w:r>
        <w:rPr>
          <w:sz w:val="28"/>
          <w:szCs w:val="28"/>
          <w:shd w:fill="FFFFFF" w:val="clear"/>
        </w:rPr>
        <w:t>млрд. рублей.</w:t>
      </w:r>
    </w:p>
    <w:p>
      <w:pPr>
        <w:pStyle w:val="Normal"/>
        <w:ind w:firstLine="709"/>
        <w:jc w:val="both"/>
        <w:rPr>
          <w:shd w:fill="FFFFFF" w:val="clear"/>
        </w:rPr>
      </w:pPr>
      <w:r>
        <w:rPr>
          <w:sz w:val="28"/>
          <w:szCs w:val="28"/>
          <w:shd w:fill="FFFFFF" w:val="clear"/>
        </w:rPr>
        <w:t xml:space="preserve">Согласно заявкам в 2021 году прогнозируемый объем потребления электроэнергии всеми группами потребителей составит </w:t>
      </w:r>
      <w:r>
        <w:rPr>
          <w:rFonts w:eastAsia="Times New Roman" w:cs="Times New Roman"/>
          <w:color w:val="000000"/>
          <w:kern w:val="0"/>
          <w:sz w:val="28"/>
          <w:szCs w:val="28"/>
          <w:shd w:fill="FFFFFF" w:val="clear"/>
          <w:lang w:val="ru-RU" w:eastAsia="ru-RU" w:bidi="ar-SA"/>
        </w:rPr>
        <w:t>3268,57</w:t>
      </w:r>
      <w:r>
        <w:rPr>
          <w:sz w:val="28"/>
          <w:szCs w:val="28"/>
          <w:shd w:fill="FFFFFF" w:val="clear"/>
        </w:rPr>
        <w:t xml:space="preserve"> млн. кВт. час, в 2022 году – </w:t>
      </w:r>
      <w:r>
        <w:rPr>
          <w:rFonts w:eastAsia="Times New Roman" w:cs="Times New Roman"/>
          <w:color w:val="000000"/>
          <w:kern w:val="0"/>
          <w:sz w:val="28"/>
          <w:szCs w:val="28"/>
          <w:shd w:fill="FFFFFF" w:val="clear"/>
          <w:lang w:val="ru-RU" w:eastAsia="ru-RU" w:bidi="ar-SA"/>
        </w:rPr>
        <w:t>3264,32</w:t>
      </w:r>
      <w:r>
        <w:rPr>
          <w:sz w:val="28"/>
          <w:szCs w:val="28"/>
          <w:shd w:fill="FFFFFF" w:val="clear"/>
        </w:rPr>
        <w:t xml:space="preserve"> млн. кВт. час, 2023 году – </w:t>
      </w:r>
      <w:r>
        <w:rPr>
          <w:rFonts w:eastAsia="Times New Roman" w:cs="Times New Roman"/>
          <w:color w:val="000000"/>
          <w:kern w:val="0"/>
          <w:sz w:val="28"/>
          <w:szCs w:val="28"/>
          <w:shd w:fill="FFFFFF" w:val="clear"/>
          <w:lang w:val="ru-RU" w:eastAsia="ru-RU" w:bidi="ar-SA"/>
        </w:rPr>
        <w:t xml:space="preserve">3273,14 </w:t>
      </w:r>
      <w:r>
        <w:rPr>
          <w:sz w:val="28"/>
          <w:szCs w:val="28"/>
          <w:shd w:fill="FFFFFF" w:val="clear"/>
        </w:rPr>
        <w:t xml:space="preserve">млн. кВт. час, 2024 году – </w:t>
      </w:r>
      <w:r>
        <w:rPr>
          <w:rFonts w:eastAsia="Times New Roman" w:cs="Times New Roman"/>
          <w:color w:val="000000"/>
          <w:kern w:val="0"/>
          <w:sz w:val="28"/>
          <w:szCs w:val="28"/>
          <w:shd w:fill="FFFFFF" w:val="clear"/>
          <w:lang w:val="ru-RU" w:eastAsia="ru-RU" w:bidi="ar-SA"/>
        </w:rPr>
        <w:t>3285,36</w:t>
      </w:r>
      <w:r>
        <w:rPr>
          <w:sz w:val="28"/>
          <w:szCs w:val="28"/>
          <w:shd w:fill="FFFFFF" w:val="clear"/>
        </w:rPr>
        <w:t xml:space="preserve"> млн. кВт. час.</w:t>
      </w:r>
    </w:p>
    <w:p>
      <w:pPr>
        <w:pStyle w:val="Normal"/>
        <w:ind w:firstLine="709"/>
        <w:jc w:val="both"/>
        <w:rPr>
          <w:shd w:fill="FFFFFF" w:val="clear"/>
        </w:rPr>
      </w:pPr>
      <w:r>
        <w:rPr>
          <w:sz w:val="28"/>
          <w:szCs w:val="28"/>
          <w:shd w:fill="FFFFFF" w:val="clear"/>
        </w:rPr>
        <w:t xml:space="preserve">Объем отгруженных товаров собственного производства, выполненных работ и услуг по предприятиям вида деятельности «Водоснабжение; водоотведение, организация сбора и утилизация отходов, деятельность по ликвидации загрязнений» в 2021 году оценивается в </w:t>
      </w:r>
      <w:r>
        <w:rPr>
          <w:rFonts w:eastAsia="Times New Roman" w:cs="Times New Roman"/>
          <w:color w:val="000000"/>
          <w:kern w:val="0"/>
          <w:sz w:val="28"/>
          <w:szCs w:val="28"/>
          <w:shd w:fill="FFFFFF" w:val="clear"/>
          <w:lang w:val="ru-RU" w:eastAsia="ru-RU" w:bidi="ar-SA"/>
        </w:rPr>
        <w:t>12,2</w:t>
      </w:r>
      <w:r>
        <w:rPr>
          <w:sz w:val="28"/>
          <w:szCs w:val="28"/>
          <w:shd w:fill="FFFFFF" w:val="clear"/>
        </w:rPr>
        <w:t xml:space="preserve"> млрд. рублей, индекс производства – </w:t>
      </w:r>
      <w:r>
        <w:rPr>
          <w:rFonts w:eastAsia="Times New Roman" w:cs="Times New Roman"/>
          <w:color w:val="000000"/>
          <w:kern w:val="0"/>
          <w:sz w:val="28"/>
          <w:szCs w:val="28"/>
          <w:shd w:fill="FFFFFF" w:val="clear"/>
          <w:lang w:val="ru-RU" w:eastAsia="ru-RU" w:bidi="ar-SA"/>
        </w:rPr>
        <w:t>116,5</w:t>
      </w:r>
      <w:r>
        <w:rPr>
          <w:sz w:val="28"/>
          <w:szCs w:val="28"/>
          <w:shd w:fill="FFFFFF" w:val="clear"/>
        </w:rPr>
        <w:t xml:space="preserve"> процента. В 2022-2024 годах прогнозируется индекс промышленного производства </w:t>
      </w:r>
      <w:r>
        <w:rPr>
          <w:rFonts w:eastAsia="Times New Roman" w:cs="Times New Roman"/>
          <w:color w:val="000000"/>
          <w:kern w:val="0"/>
          <w:sz w:val="28"/>
          <w:szCs w:val="28"/>
          <w:shd w:fill="FFFFFF" w:val="clear"/>
          <w:lang w:val="ru-RU" w:eastAsia="ru-RU" w:bidi="ar-SA"/>
        </w:rPr>
        <w:t>103,2-103,6</w:t>
      </w:r>
      <w:r>
        <w:rPr>
          <w:sz w:val="28"/>
          <w:szCs w:val="28"/>
          <w:shd w:fill="FFFFFF" w:val="clear"/>
        </w:rPr>
        <w:t xml:space="preserve"> процента. Объем отгруженной продукции по данному виду экономической деятельности в 2022 году составит </w:t>
      </w:r>
      <w:r>
        <w:rPr>
          <w:rFonts w:eastAsia="Times New Roman" w:cs="Times New Roman"/>
          <w:color w:val="000000"/>
          <w:kern w:val="0"/>
          <w:sz w:val="28"/>
          <w:szCs w:val="28"/>
          <w:shd w:fill="FFFFFF" w:val="clear"/>
          <w:lang w:val="ru-RU" w:eastAsia="ru-RU" w:bidi="ar-SA"/>
        </w:rPr>
        <w:t>13,1</w:t>
      </w:r>
      <w:r>
        <w:rPr>
          <w:sz w:val="28"/>
          <w:szCs w:val="28"/>
          <w:shd w:fill="FFFFFF" w:val="clear"/>
        </w:rPr>
        <w:t xml:space="preserve"> млрд. рублей, в 2023 году — 14,0 млрд. рублей, в 2024 году – </w:t>
      </w:r>
      <w:r>
        <w:rPr>
          <w:rFonts w:eastAsia="Times New Roman" w:cs="Times New Roman"/>
          <w:color w:val="000000"/>
          <w:kern w:val="0"/>
          <w:sz w:val="28"/>
          <w:szCs w:val="28"/>
          <w:shd w:fill="FFFFFF" w:val="clear"/>
          <w:lang w:val="ru-RU" w:eastAsia="ru-RU" w:bidi="ar-SA"/>
        </w:rPr>
        <w:t>15,1</w:t>
      </w:r>
      <w:r>
        <w:rPr>
          <w:sz w:val="28"/>
          <w:szCs w:val="28"/>
          <w:shd w:fill="FFFFFF" w:val="clear"/>
        </w:rPr>
        <w:t xml:space="preserve"> млрд. рублей.</w:t>
      </w:r>
    </w:p>
    <w:p>
      <w:pPr>
        <w:pStyle w:val="Normal"/>
        <w:ind w:firstLine="709"/>
        <w:jc w:val="both"/>
        <w:rPr>
          <w:shd w:fill="FFFFFF" w:val="clear"/>
        </w:rPr>
      </w:pPr>
      <w:r>
        <w:rPr>
          <w:shd w:fill="FFFFFF" w:val="clear"/>
        </w:rPr>
      </w:r>
    </w:p>
    <w:p>
      <w:pPr>
        <w:pStyle w:val="BodyText2"/>
        <w:jc w:val="center"/>
        <w:rPr>
          <w:shd w:fill="FFFFFF" w:val="clear"/>
        </w:rPr>
      </w:pPr>
      <w:r>
        <w:rPr>
          <w:bCs w:val="false"/>
          <w:sz w:val="28"/>
          <w:szCs w:val="28"/>
          <w:shd w:fill="FFFFFF" w:val="clear"/>
        </w:rPr>
        <w:t>4. Сельское хозяйство</w:t>
      </w:r>
    </w:p>
    <w:p>
      <w:pPr>
        <w:pStyle w:val="BodyText2"/>
        <w:jc w:val="center"/>
        <w:rPr>
          <w:bCs w:val="false"/>
          <w:sz w:val="28"/>
          <w:szCs w:val="28"/>
          <w:shd w:fill="FFFFFF" w:val="clear"/>
        </w:rPr>
      </w:pPr>
      <w:r>
        <w:rPr>
          <w:bCs w:val="false"/>
          <w:sz w:val="28"/>
          <w:szCs w:val="28"/>
          <w:shd w:fill="FFFFFF" w:val="clear"/>
        </w:rPr>
      </w:r>
    </w:p>
    <w:p>
      <w:pPr>
        <w:pStyle w:val="BodyText2"/>
        <w:ind w:firstLine="709"/>
        <w:jc w:val="both"/>
        <w:rPr>
          <w:shd w:fill="FFFFFF" w:val="clear"/>
        </w:rPr>
      </w:pPr>
      <w:r>
        <w:rPr>
          <w:b w:val="false"/>
          <w:bCs w:val="false"/>
          <w:sz w:val="28"/>
          <w:szCs w:val="28"/>
          <w:shd w:fill="FFFFFF" w:val="clear"/>
        </w:rPr>
        <w:t xml:space="preserve">В 2020 году объем производства продукции сельского хозяйства во всех категориях хозяйств составил </w:t>
      </w:r>
      <w:r>
        <w:rPr>
          <w:rFonts w:eastAsia="Times New Roman" w:cs="Times New Roman"/>
          <w:b w:val="false"/>
          <w:bCs w:val="false"/>
          <w:color w:val="000000"/>
          <w:kern w:val="0"/>
          <w:sz w:val="28"/>
          <w:szCs w:val="28"/>
          <w:shd w:fill="FFFFFF" w:val="clear"/>
          <w:lang w:val="ru-RU" w:eastAsia="ru-RU" w:bidi="ar-SA"/>
        </w:rPr>
        <w:t>97,3</w:t>
      </w:r>
      <w:r>
        <w:rPr>
          <w:b w:val="false"/>
          <w:bCs w:val="false"/>
          <w:sz w:val="28"/>
          <w:szCs w:val="28"/>
          <w:shd w:fill="FFFFFF" w:val="clear"/>
        </w:rPr>
        <w:t xml:space="preserve"> млрд. рублей или </w:t>
      </w:r>
      <w:r>
        <w:rPr>
          <w:rFonts w:eastAsia="Times New Roman" w:cs="Times New Roman"/>
          <w:b w:val="false"/>
          <w:bCs w:val="false"/>
          <w:color w:val="000000"/>
          <w:kern w:val="0"/>
          <w:sz w:val="28"/>
          <w:szCs w:val="28"/>
          <w:shd w:fill="FFFFFF" w:val="clear"/>
          <w:lang w:val="ru-RU" w:eastAsia="ru-RU" w:bidi="ar-SA"/>
        </w:rPr>
        <w:t>103,0</w:t>
      </w:r>
      <w:r>
        <w:rPr>
          <w:b w:val="false"/>
          <w:bCs w:val="false"/>
          <w:sz w:val="28"/>
          <w:szCs w:val="28"/>
          <w:shd w:fill="FFFFFF" w:val="clear"/>
        </w:rPr>
        <w:t xml:space="preserve"> процента в сопоставимых ценах к уровню 2019 года. Доля продукции растениеводства в общем объеме производства составила </w:t>
      </w:r>
      <w:r>
        <w:rPr>
          <w:rFonts w:eastAsia="Times New Roman" w:cs="Times New Roman"/>
          <w:b w:val="false"/>
          <w:bCs w:val="false"/>
          <w:color w:val="000000"/>
          <w:kern w:val="0"/>
          <w:sz w:val="28"/>
          <w:szCs w:val="28"/>
          <w:shd w:fill="FFFFFF" w:val="clear"/>
          <w:lang w:val="ru-RU" w:eastAsia="ru-RU" w:bidi="ar-SA"/>
        </w:rPr>
        <w:t>52,3</w:t>
      </w:r>
      <w:r>
        <w:rPr>
          <w:b w:val="false"/>
          <w:bCs w:val="false"/>
          <w:sz w:val="28"/>
          <w:szCs w:val="28"/>
          <w:shd w:fill="FFFFFF" w:val="clear"/>
        </w:rPr>
        <w:t xml:space="preserve"> процента (</w:t>
      </w:r>
      <w:r>
        <w:rPr>
          <w:rFonts w:eastAsia="Times New Roman" w:cs="Times New Roman"/>
          <w:b w:val="false"/>
          <w:bCs w:val="false"/>
          <w:color w:val="000000"/>
          <w:kern w:val="0"/>
          <w:sz w:val="28"/>
          <w:szCs w:val="28"/>
          <w:shd w:fill="FFFFFF" w:val="clear"/>
          <w:lang w:val="ru-RU" w:eastAsia="ru-RU" w:bidi="ar-SA"/>
        </w:rPr>
        <w:t>50,9</w:t>
      </w:r>
      <w:r>
        <w:rPr>
          <w:b w:val="false"/>
          <w:bCs w:val="false"/>
          <w:sz w:val="28"/>
          <w:szCs w:val="28"/>
          <w:shd w:fill="FFFFFF" w:val="clear"/>
        </w:rPr>
        <w:t xml:space="preserve"> млрд. рублей), животноводства – </w:t>
      </w:r>
      <w:r>
        <w:rPr>
          <w:rFonts w:eastAsia="Times New Roman" w:cs="Times New Roman"/>
          <w:b w:val="false"/>
          <w:bCs w:val="false"/>
          <w:color w:val="000000"/>
          <w:kern w:val="0"/>
          <w:sz w:val="28"/>
          <w:szCs w:val="28"/>
          <w:shd w:fill="FFFFFF" w:val="clear"/>
          <w:lang w:val="ru-RU" w:eastAsia="ru-RU" w:bidi="ar-SA"/>
        </w:rPr>
        <w:t>47,7</w:t>
      </w:r>
      <w:r>
        <w:rPr>
          <w:b w:val="false"/>
          <w:bCs w:val="false"/>
          <w:sz w:val="28"/>
          <w:szCs w:val="28"/>
          <w:shd w:fill="FFFFFF" w:val="clear"/>
        </w:rPr>
        <w:t xml:space="preserve"> процента (</w:t>
      </w:r>
      <w:r>
        <w:rPr>
          <w:rFonts w:eastAsia="Times New Roman" w:cs="Times New Roman"/>
          <w:b w:val="false"/>
          <w:bCs w:val="false"/>
          <w:color w:val="000000"/>
          <w:kern w:val="0"/>
          <w:sz w:val="28"/>
          <w:szCs w:val="28"/>
          <w:shd w:fill="FFFFFF" w:val="clear"/>
          <w:lang w:val="ru-RU" w:eastAsia="ru-RU" w:bidi="ar-SA"/>
        </w:rPr>
        <w:t>46,4</w:t>
      </w:r>
      <w:r>
        <w:rPr>
          <w:b w:val="false"/>
          <w:bCs w:val="false"/>
          <w:sz w:val="28"/>
          <w:szCs w:val="28"/>
          <w:shd w:fill="FFFFFF" w:val="clear"/>
        </w:rPr>
        <w:t xml:space="preserve"> млрд. рублей). </w:t>
      </w:r>
    </w:p>
    <w:p>
      <w:pPr>
        <w:pStyle w:val="31"/>
        <w:spacing w:before="0" w:after="0"/>
        <w:ind w:left="0" w:right="0" w:firstLine="709"/>
        <w:jc w:val="both"/>
        <w:rPr>
          <w:shd w:fill="FFFFFF" w:val="clear"/>
        </w:rPr>
      </w:pPr>
      <w:r>
        <w:rPr>
          <w:b w:val="false"/>
          <w:bCs w:val="false"/>
          <w:sz w:val="28"/>
          <w:szCs w:val="28"/>
          <w:shd w:fill="FFFFFF" w:val="clear"/>
        </w:rPr>
        <w:t xml:space="preserve">Сельхозтоваропроизводителями всех форм собственности </w:t>
      </w:r>
      <w:r>
        <w:rPr>
          <w:rFonts w:eastAsia="Times New Roman" w:cs="Times New Roman"/>
          <w:b w:val="false"/>
          <w:bCs w:val="false"/>
          <w:color w:val="000000"/>
          <w:sz w:val="28"/>
          <w:szCs w:val="28"/>
          <w:shd w:fill="FFFFFF" w:val="clear"/>
          <w:lang w:val="ru-RU" w:eastAsia="zh-CN" w:bidi="ar-SA"/>
        </w:rPr>
        <w:t xml:space="preserve">в </w:t>
      </w:r>
      <w:r>
        <w:rPr>
          <w:b w:val="false"/>
          <w:bCs w:val="false"/>
          <w:sz w:val="28"/>
          <w:szCs w:val="28"/>
          <w:shd w:fill="FFFFFF" w:val="clear"/>
        </w:rPr>
        <w:t xml:space="preserve">2020 году произведено мяса (в живом весе) </w:t>
      </w:r>
      <w:r>
        <w:rPr>
          <w:rFonts w:eastAsia="Times New Roman" w:cs="Times New Roman"/>
          <w:b w:val="false"/>
          <w:bCs w:val="false"/>
          <w:color w:val="000000"/>
          <w:kern w:val="0"/>
          <w:sz w:val="28"/>
          <w:szCs w:val="28"/>
          <w:shd w:fill="FFFFFF" w:val="clear"/>
          <w:lang w:val="ru-RU" w:eastAsia="zh-CN" w:bidi="ar-SA"/>
        </w:rPr>
        <w:t>442,3</w:t>
      </w:r>
      <w:r>
        <w:rPr>
          <w:b w:val="false"/>
          <w:bCs w:val="false"/>
          <w:sz w:val="28"/>
          <w:szCs w:val="28"/>
          <w:shd w:fill="FFFFFF" w:val="clear"/>
        </w:rPr>
        <w:t xml:space="preserve"> тыс. тонн, что составило </w:t>
      </w:r>
      <w:r>
        <w:rPr>
          <w:rFonts w:eastAsia="Times New Roman" w:cs="Times New Roman"/>
          <w:b w:val="false"/>
          <w:bCs w:val="false"/>
          <w:color w:val="000000"/>
          <w:sz w:val="28"/>
          <w:szCs w:val="28"/>
          <w:shd w:fill="FFFFFF" w:val="clear"/>
          <w:lang w:val="ru-RU" w:eastAsia="zh-CN" w:bidi="ar-SA"/>
        </w:rPr>
        <w:t xml:space="preserve">104,0 </w:t>
      </w:r>
      <w:r>
        <w:rPr>
          <w:b w:val="false"/>
          <w:bCs w:val="false"/>
          <w:sz w:val="28"/>
          <w:szCs w:val="28"/>
          <w:shd w:fill="FFFFFF" w:val="clear"/>
        </w:rPr>
        <w:t xml:space="preserve">процента к уровню 2019 года, молока – </w:t>
      </w:r>
      <w:r>
        <w:rPr>
          <w:rFonts w:eastAsia="Times New Roman" w:cs="Times New Roman"/>
          <w:b w:val="false"/>
          <w:bCs w:val="false"/>
          <w:color w:val="000000"/>
          <w:sz w:val="28"/>
          <w:szCs w:val="28"/>
          <w:shd w:fill="FFFFFF" w:val="clear"/>
          <w:lang w:val="ru-RU" w:eastAsia="zh-CN" w:bidi="ar-SA"/>
        </w:rPr>
        <w:t>295,0</w:t>
      </w:r>
      <w:r>
        <w:rPr>
          <w:b w:val="false"/>
          <w:bCs w:val="false"/>
          <w:sz w:val="28"/>
          <w:szCs w:val="28"/>
          <w:shd w:fill="FFFFFF" w:val="clear"/>
        </w:rPr>
        <w:t xml:space="preserve"> тыс. тонн (</w:t>
      </w:r>
      <w:r>
        <w:rPr>
          <w:rFonts w:eastAsia="Times New Roman" w:cs="Times New Roman"/>
          <w:b w:val="false"/>
          <w:bCs w:val="false"/>
          <w:color w:val="000000"/>
          <w:sz w:val="28"/>
          <w:szCs w:val="28"/>
          <w:shd w:fill="FFFFFF" w:val="clear"/>
          <w:lang w:val="ru-RU" w:eastAsia="zh-CN" w:bidi="ar-SA"/>
        </w:rPr>
        <w:t>100,6</w:t>
      </w:r>
      <w:r>
        <w:rPr>
          <w:b w:val="false"/>
          <w:bCs w:val="false"/>
          <w:sz w:val="28"/>
          <w:szCs w:val="28"/>
          <w:shd w:fill="FFFFFF" w:val="clear"/>
        </w:rPr>
        <w:t xml:space="preserve"> процента), зерна (в первоначально оприходованном весе) – </w:t>
      </w:r>
      <w:r>
        <w:rPr>
          <w:rFonts w:eastAsia="Times New Roman" w:cs="Times New Roman"/>
          <w:b w:val="false"/>
          <w:bCs w:val="false"/>
          <w:color w:val="000000"/>
          <w:kern w:val="0"/>
          <w:sz w:val="28"/>
          <w:szCs w:val="28"/>
          <w:shd w:fill="FFFFFF" w:val="clear"/>
          <w:lang w:val="ru-RU" w:eastAsia="ru-RU" w:bidi="ar-SA"/>
        </w:rPr>
        <w:t>2226,7</w:t>
      </w:r>
      <w:r>
        <w:rPr>
          <w:b w:val="false"/>
          <w:bCs w:val="false"/>
          <w:color w:val="000000"/>
          <w:sz w:val="28"/>
          <w:szCs w:val="28"/>
          <w:shd w:fill="FFFFFF" w:val="clear"/>
        </w:rPr>
        <w:t xml:space="preserve"> тыс.</w:t>
      </w:r>
      <w:r>
        <w:rPr>
          <w:b w:val="false"/>
          <w:bCs w:val="false"/>
          <w:color w:val="C9211E"/>
          <w:sz w:val="28"/>
          <w:szCs w:val="28"/>
          <w:shd w:fill="FFFFFF" w:val="clear"/>
        </w:rPr>
        <w:t xml:space="preserve"> </w:t>
      </w:r>
      <w:r>
        <w:rPr>
          <w:b w:val="false"/>
          <w:bCs w:val="false"/>
          <w:sz w:val="28"/>
          <w:szCs w:val="28"/>
          <w:shd w:fill="FFFFFF" w:val="clear"/>
        </w:rPr>
        <w:t>тонн (11</w:t>
      </w:r>
      <w:r>
        <w:rPr>
          <w:rFonts w:eastAsia="Times New Roman" w:cs="Times New Roman"/>
          <w:b w:val="false"/>
          <w:bCs w:val="false"/>
          <w:color w:val="000000"/>
          <w:kern w:val="0"/>
          <w:sz w:val="28"/>
          <w:szCs w:val="28"/>
          <w:shd w:fill="FFFFFF" w:val="clear"/>
          <w:lang w:val="ru-RU" w:eastAsia="ru-RU" w:bidi="ar-SA"/>
        </w:rPr>
        <w:t>8,9</w:t>
      </w:r>
      <w:r>
        <w:rPr>
          <w:b w:val="false"/>
          <w:bCs w:val="false"/>
          <w:sz w:val="28"/>
          <w:szCs w:val="28"/>
          <w:shd w:fill="FFFFFF" w:val="clear"/>
        </w:rPr>
        <w:t xml:space="preserve"> процента), картофеля – 1152,0 тыс. тонн (99,5 процента).</w:t>
      </w:r>
    </w:p>
    <w:p>
      <w:pPr>
        <w:pStyle w:val="BodyText2"/>
        <w:ind w:firstLine="709"/>
        <w:jc w:val="both"/>
        <w:rPr>
          <w:shd w:fill="FFFFFF" w:val="clear"/>
        </w:rPr>
      </w:pPr>
      <w:r>
        <w:rPr>
          <w:rFonts w:eastAsia="Times New Roman" w:cs="Times New Roman"/>
          <w:b w:val="false"/>
          <w:bCs w:val="false"/>
          <w:color w:val="000000"/>
          <w:kern w:val="0"/>
          <w:sz w:val="28"/>
          <w:szCs w:val="28"/>
          <w:shd w:fill="FFFFFF" w:val="clear"/>
          <w:lang w:val="ru-RU" w:eastAsia="ru-RU" w:bidi="ar-SA"/>
        </w:rPr>
        <w:t xml:space="preserve">По промышленному производству картофеля Брянская область является лидером среди регионов России. </w:t>
      </w:r>
      <w:r>
        <w:rPr>
          <w:rFonts w:cs="Times New Roman"/>
          <w:b w:val="false"/>
          <w:bCs w:val="false"/>
          <w:sz w:val="28"/>
          <w:szCs w:val="28"/>
          <w:shd w:fill="FFFFFF" w:val="clear"/>
        </w:rPr>
        <w:t xml:space="preserve"> </w:t>
      </w:r>
      <w:r>
        <w:rPr>
          <w:b w:val="false"/>
          <w:bCs w:val="false"/>
          <w:sz w:val="28"/>
          <w:szCs w:val="28"/>
          <w:shd w:fill="FFFFFF" w:val="clear"/>
        </w:rPr>
        <w:t xml:space="preserve">По урожайности картофеля в хозяйствах всех категорий область в 2020 году заняла 1 место в ЦФО, 2 место в России. Наращивание объемов производства картофеля позволило не только снизить зависимость внутреннего рынка от импорта и поддержать рост экспортных поставок, но и освоить переработку картофеля. </w:t>
      </w:r>
    </w:p>
    <w:p>
      <w:pPr>
        <w:pStyle w:val="Normal"/>
        <w:spacing w:lineRule="auto" w:line="240" w:before="0" w:after="0"/>
        <w:ind w:firstLine="708"/>
        <w:jc w:val="both"/>
        <w:rPr>
          <w:shd w:fill="FFFFFF" w:val="clear"/>
        </w:rPr>
      </w:pPr>
      <w:r>
        <w:rPr>
          <w:shd w:fill="FFFFFF" w:val="clear"/>
        </w:rPr>
      </w:r>
    </w:p>
    <w:p>
      <w:pPr>
        <w:pStyle w:val="BodyText2"/>
        <w:ind w:firstLine="709"/>
        <w:jc w:val="both"/>
        <w:rPr>
          <w:shd w:fill="FFFFFF" w:val="clear"/>
        </w:rPr>
      </w:pPr>
      <w:r>
        <w:rPr>
          <w:rFonts w:cs="Times New Roman"/>
          <w:b w:val="false"/>
          <w:bCs w:val="false"/>
          <w:sz w:val="28"/>
          <w:szCs w:val="28"/>
          <w:shd w:fill="FFFFFF" w:val="clear"/>
        </w:rPr>
        <w:t xml:space="preserve">Продукция зерновой подотрасли в регионе востребована в связи с увеличением поголовья сельскохозяйственных животных в крупных предприятиях отрасли животноводства. </w:t>
      </w:r>
    </w:p>
    <w:p>
      <w:pPr>
        <w:pStyle w:val="Normal"/>
        <w:spacing w:lineRule="auto" w:line="240" w:before="0" w:after="0"/>
        <w:ind w:firstLine="708"/>
        <w:jc w:val="both"/>
        <w:rPr>
          <w:shd w:fill="FFFFFF" w:val="clear"/>
        </w:rPr>
      </w:pPr>
      <w:r>
        <w:rPr>
          <w:rFonts w:cs="Times New Roman"/>
          <w:sz w:val="28"/>
          <w:szCs w:val="28"/>
          <w:shd w:fill="FFFFFF" w:val="clear"/>
        </w:rPr>
        <w:t xml:space="preserve">Брянская область занимает 1 место в ЦФО и 2 место в России по поголовью крупного рогатого скота и производству говядины в сельхозпредприятиях. </w:t>
      </w:r>
    </w:p>
    <w:p>
      <w:pPr>
        <w:pStyle w:val="Normal"/>
        <w:spacing w:lineRule="auto" w:line="240" w:before="0" w:after="0"/>
        <w:ind w:firstLine="708"/>
        <w:jc w:val="both"/>
        <w:rPr>
          <w:shd w:fill="FFFFFF" w:val="clear"/>
        </w:rPr>
      </w:pPr>
      <w:r>
        <w:rPr>
          <w:rFonts w:eastAsia="Times New Roman" w:cs="Times New Roman"/>
          <w:b w:val="false"/>
          <w:bCs w:val="false"/>
          <w:color w:val="000000"/>
          <w:kern w:val="0"/>
          <w:sz w:val="28"/>
          <w:szCs w:val="28"/>
          <w:shd w:fill="FFFFFF" w:val="clear"/>
          <w:lang w:val="ru-RU" w:eastAsia="ru-RU" w:bidi="ar-SA"/>
        </w:rPr>
        <w:t xml:space="preserve">Поголовье крупного рогатого скота по отношению к 1 января 2020 года увеличилось на 4,7 процента и на 1 января 2021 года составило 505,0 тыс. голов. </w:t>
      </w:r>
    </w:p>
    <w:p>
      <w:pPr>
        <w:pStyle w:val="Style22"/>
        <w:ind w:left="0" w:right="-5" w:firstLine="708"/>
        <w:rPr>
          <w:shd w:fill="FFFFFF" w:val="clear"/>
        </w:rPr>
      </w:pPr>
      <w:r>
        <w:rPr>
          <w:rFonts w:eastAsia="Times New Roman" w:cs="Times New Roman"/>
          <w:color w:val="000000"/>
          <w:kern w:val="0"/>
          <w:sz w:val="28"/>
          <w:szCs w:val="28"/>
          <w:shd w:fill="FFFFFF" w:val="clear"/>
          <w:lang w:val="ru-RU" w:eastAsia="ru-RU" w:bidi="ar-SA"/>
        </w:rPr>
        <w:t>Интенсивное</w:t>
      </w:r>
      <w:r>
        <w:rPr>
          <w:sz w:val="28"/>
          <w:szCs w:val="28"/>
          <w:shd w:fill="FFFFFF" w:val="clear"/>
        </w:rPr>
        <w:t xml:space="preserve"> р</w:t>
      </w:r>
      <w:r>
        <w:rPr>
          <w:b w:val="false"/>
          <w:bCs w:val="false"/>
          <w:sz w:val="28"/>
          <w:szCs w:val="28"/>
          <w:shd w:fill="FFFFFF" w:val="clear"/>
        </w:rPr>
        <w:t xml:space="preserve">азвитие сельского хозяйства региона </w:t>
      </w:r>
      <w:r>
        <w:rPr>
          <w:rFonts w:eastAsia="Times New Roman" w:cs="Times New Roman"/>
          <w:b w:val="false"/>
          <w:bCs w:val="false"/>
          <w:color w:val="000000"/>
          <w:kern w:val="0"/>
          <w:sz w:val="28"/>
          <w:szCs w:val="28"/>
          <w:shd w:fill="FFFFFF" w:val="clear"/>
          <w:lang w:val="ru-RU" w:eastAsia="ru-RU" w:bidi="ar-SA"/>
        </w:rPr>
        <w:t>обусловлено</w:t>
      </w:r>
      <w:r>
        <w:rPr>
          <w:b w:val="false"/>
          <w:bCs w:val="false"/>
          <w:sz w:val="28"/>
          <w:szCs w:val="28"/>
          <w:shd w:fill="FFFFFF" w:val="clear"/>
        </w:rPr>
        <w:t xml:space="preserve"> реализацией крупных инвестиционных проектов в отрасли животноводства и растениеводства, широк</w:t>
      </w:r>
      <w:r>
        <w:rPr>
          <w:rFonts w:eastAsia="Times New Roman" w:cs="Times New Roman"/>
          <w:b w:val="false"/>
          <w:bCs w:val="false"/>
          <w:color w:val="000000"/>
          <w:kern w:val="0"/>
          <w:sz w:val="28"/>
          <w:szCs w:val="28"/>
          <w:shd w:fill="FFFFFF" w:val="clear"/>
          <w:lang w:val="ru-RU" w:eastAsia="ru-RU" w:bidi="ar-SA"/>
        </w:rPr>
        <w:t>им</w:t>
      </w:r>
      <w:r>
        <w:rPr>
          <w:b w:val="false"/>
          <w:bCs w:val="false"/>
          <w:sz w:val="28"/>
          <w:szCs w:val="28"/>
          <w:shd w:fill="FFFFFF" w:val="clear"/>
        </w:rPr>
        <w:t xml:space="preserve"> применением прогрессивных технологий, государственной поддержкой агропромышленного комплекса и созданием </w:t>
      </w:r>
      <w:r>
        <w:rPr>
          <w:b w:val="false"/>
          <w:bCs/>
          <w:sz w:val="28"/>
          <w:szCs w:val="28"/>
          <w:shd w:fill="FFFFFF" w:val="clear"/>
        </w:rPr>
        <w:t>комфортных условий жизнедеятельности в сельской местности</w:t>
      </w:r>
      <w:r>
        <w:rPr>
          <w:b w:val="false"/>
          <w:bCs w:val="false"/>
          <w:sz w:val="28"/>
          <w:szCs w:val="28"/>
          <w:shd w:fill="FFFFFF" w:val="clear"/>
        </w:rPr>
        <w:t>.</w:t>
      </w:r>
    </w:p>
    <w:p>
      <w:pPr>
        <w:pStyle w:val="ConsPlusNormal1"/>
        <w:ind w:firstLine="708"/>
        <w:jc w:val="both"/>
        <w:rPr/>
      </w:pPr>
      <w:r>
        <w:rPr>
          <w:rFonts w:cs="Times New Roman"/>
          <w:sz w:val="28"/>
          <w:szCs w:val="28"/>
          <w:shd w:fill="FFFFFF" w:val="clear"/>
        </w:rPr>
        <w:t>В рамках государственной программы «</w:t>
      </w:r>
      <w:hyperlink r:id="rId2">
        <w:r>
          <w:rPr>
            <w:rFonts w:cs="Times New Roman"/>
            <w:sz w:val="28"/>
            <w:szCs w:val="28"/>
            <w:shd w:fill="FFFFFF" w:val="clear"/>
          </w:rPr>
          <w:t>Развитие сельского хозяйства</w:t>
        </w:r>
      </w:hyperlink>
      <w:r>
        <w:rPr>
          <w:rFonts w:cs="Times New Roman"/>
          <w:sz w:val="28"/>
          <w:szCs w:val="28"/>
          <w:shd w:fill="FFFFFF" w:val="clear"/>
        </w:rPr>
        <w:t xml:space="preserve"> и регулирование рынков сельскохозяйственной продукции, сырья и продовольствия Брянской области» предусмотрены </w:t>
      </w:r>
      <w:r>
        <w:rPr>
          <w:rFonts w:eastAsia="Times New Roman" w:cs="Times New Roman"/>
          <w:color w:val="000000"/>
          <w:kern w:val="0"/>
          <w:sz w:val="28"/>
          <w:szCs w:val="28"/>
          <w:shd w:fill="FFFFFF" w:val="clear"/>
          <w:lang w:val="ru-RU" w:eastAsia="ru-RU" w:bidi="ar-SA"/>
        </w:rPr>
        <w:t>меры</w:t>
      </w:r>
      <w:r>
        <w:rPr>
          <w:rFonts w:cs="Times New Roman"/>
          <w:sz w:val="28"/>
          <w:szCs w:val="28"/>
          <w:shd w:fill="FFFFFF" w:val="clear"/>
        </w:rPr>
        <w:t xml:space="preserve"> поддержки  производства сельскохозяйственных культур и обеспечения прироста продукции растениеводства собственного производства, племенного животноводства, элитного семеноводства,</w:t>
      </w:r>
      <w:r>
        <w:rPr>
          <w:rFonts w:cs="Times New Roman"/>
          <w:sz w:val="32"/>
          <w:szCs w:val="32"/>
          <w:shd w:fill="FFFFFF" w:val="clear"/>
        </w:rPr>
        <w:t xml:space="preserve"> </w:t>
      </w:r>
      <w:r>
        <w:rPr>
          <w:rFonts w:cs="Times New Roman"/>
          <w:sz w:val="28"/>
          <w:szCs w:val="28"/>
          <w:shd w:fill="FFFFFF" w:val="clear"/>
        </w:rPr>
        <w:t>производства льна и технической конопли, мясного животноводства и обеспечения прироста товарного поголовья коров специализированных мясных пород, развития малых форм хозяйствования и других направлений, что обеспечивает положительную динамику сельскохозяйственного производства. Государственная поддержка агропромышленного комплекса Брянской области из федерального и областного бюджетов за 5 лет увеличилась с 7,7 млрд. рублей до 11,0 млрд. рублей.</w:t>
      </w:r>
    </w:p>
    <w:p>
      <w:pPr>
        <w:pStyle w:val="22"/>
        <w:ind w:firstLine="709"/>
        <w:jc w:val="both"/>
        <w:rPr>
          <w:shd w:fill="FFFFFF" w:val="clear"/>
        </w:rPr>
      </w:pPr>
      <w:r>
        <w:rPr>
          <w:b w:val="false"/>
          <w:bCs/>
          <w:sz w:val="28"/>
          <w:szCs w:val="28"/>
          <w:shd w:fill="FFFFFF" w:val="clear"/>
        </w:rPr>
        <w:t xml:space="preserve">В </w:t>
      </w:r>
      <w:r>
        <w:rPr>
          <w:rFonts w:eastAsia="Times New Roman" w:cs="Times New Roman"/>
          <w:b w:val="false"/>
          <w:bCs/>
          <w:color w:val="000000"/>
          <w:kern w:val="0"/>
          <w:sz w:val="28"/>
          <w:szCs w:val="28"/>
          <w:shd w:fill="FFFFFF" w:val="clear"/>
          <w:lang w:val="ru-RU" w:eastAsia="ru-RU" w:bidi="ar-SA"/>
        </w:rPr>
        <w:t>рамках</w:t>
      </w:r>
      <w:r>
        <w:rPr>
          <w:b w:val="false"/>
          <w:bCs/>
          <w:sz w:val="28"/>
          <w:szCs w:val="28"/>
          <w:shd w:fill="FFFFFF" w:val="clear"/>
        </w:rPr>
        <w:t xml:space="preserve"> государственной программы «Комплексное развитие сельских территорий Брянской области» </w:t>
      </w:r>
      <w:r>
        <w:rPr>
          <w:rFonts w:eastAsia="Times New Roman" w:cs="Times New Roman"/>
          <w:b w:val="false"/>
          <w:bCs/>
          <w:color w:val="000000"/>
          <w:kern w:val="0"/>
          <w:sz w:val="28"/>
          <w:szCs w:val="28"/>
          <w:shd w:fill="FFFFFF" w:val="clear"/>
          <w:lang w:val="ru-RU" w:eastAsia="ru-RU" w:bidi="ar-SA"/>
        </w:rPr>
        <w:t>реализуются</w:t>
      </w:r>
      <w:r>
        <w:rPr>
          <w:b w:val="false"/>
          <w:bCs/>
          <w:sz w:val="28"/>
          <w:szCs w:val="28"/>
          <w:shd w:fill="FFFFFF" w:val="clear"/>
        </w:rPr>
        <w:t xml:space="preserve"> мероприятия по у</w:t>
      </w:r>
      <w:r>
        <w:rPr>
          <w:b w:val="false"/>
          <w:bCs w:val="false"/>
          <w:sz w:val="28"/>
          <w:szCs w:val="28"/>
          <w:shd w:fill="FFFFFF" w:val="clear"/>
        </w:rPr>
        <w:t>лучшению жилищных условий сельского населения, благоустройству сельских территорий, разви</w:t>
      </w:r>
      <w:r>
        <w:rPr>
          <w:rFonts w:eastAsia="Times New Roman" w:cs="Times New Roman"/>
          <w:b w:val="false"/>
          <w:bCs w:val="false"/>
          <w:color w:val="000000"/>
          <w:kern w:val="0"/>
          <w:sz w:val="28"/>
          <w:szCs w:val="28"/>
          <w:shd w:fill="FFFFFF" w:val="clear"/>
          <w:lang w:val="ru-RU" w:eastAsia="ru-RU" w:bidi="ar-SA"/>
        </w:rPr>
        <w:t xml:space="preserve">тию </w:t>
      </w:r>
      <w:r>
        <w:rPr>
          <w:b w:val="false"/>
          <w:bCs w:val="false"/>
          <w:sz w:val="28"/>
          <w:szCs w:val="28"/>
          <w:shd w:fill="FFFFFF" w:val="clear"/>
        </w:rPr>
        <w:t>газификации и водоснабжения.</w:t>
      </w:r>
    </w:p>
    <w:p>
      <w:pPr>
        <w:pStyle w:val="Normal"/>
        <w:ind w:right="-5" w:firstLine="708"/>
        <w:jc w:val="both"/>
        <w:rPr>
          <w:shd w:fill="FFFFFF" w:val="clear"/>
        </w:rPr>
      </w:pPr>
      <w:r>
        <w:rPr>
          <w:sz w:val="28"/>
          <w:szCs w:val="28"/>
          <w:shd w:fill="FFFFFF" w:val="clear"/>
        </w:rPr>
        <w:t xml:space="preserve">Объем производства продукции сельского хозяйства во всех категориях хозяйств в 2021 году оценивается в </w:t>
      </w:r>
      <w:r>
        <w:rPr>
          <w:rFonts w:eastAsia="Times New Roman" w:cs="Times New Roman"/>
          <w:bCs/>
          <w:color w:val="000000"/>
          <w:kern w:val="0"/>
          <w:sz w:val="28"/>
          <w:szCs w:val="28"/>
          <w:shd w:fill="FFFFFF" w:val="clear"/>
          <w:lang w:val="en-US" w:eastAsia="ru-RU" w:bidi="ar-SA"/>
        </w:rPr>
        <w:t>109,9</w:t>
      </w:r>
      <w:r>
        <w:rPr>
          <w:sz w:val="28"/>
          <w:szCs w:val="28"/>
          <w:shd w:fill="FFFFFF" w:val="clear"/>
        </w:rPr>
        <w:t xml:space="preserve"> млрд. рублей или </w:t>
      </w:r>
      <w:r>
        <w:rPr>
          <w:rFonts w:eastAsia="Times New Roman" w:cs="Times New Roman"/>
          <w:bCs/>
          <w:color w:val="000000"/>
          <w:kern w:val="0"/>
          <w:sz w:val="28"/>
          <w:szCs w:val="28"/>
          <w:shd w:fill="FFFFFF" w:val="clear"/>
          <w:lang w:val="en-US" w:eastAsia="ru-RU" w:bidi="ar-SA"/>
        </w:rPr>
        <w:t>102,9</w:t>
      </w:r>
      <w:r>
        <w:rPr>
          <w:sz w:val="28"/>
          <w:szCs w:val="28"/>
          <w:shd w:fill="FFFFFF" w:val="clear"/>
        </w:rPr>
        <w:t xml:space="preserve"> процента в сопоставимых ценах к уровню 2020 года, в том числе продукции растениеводства – </w:t>
      </w:r>
      <w:r>
        <w:rPr>
          <w:rFonts w:eastAsia="Times New Roman" w:cs="Times New Roman"/>
          <w:color w:val="000000"/>
          <w:kern w:val="0"/>
          <w:sz w:val="28"/>
          <w:szCs w:val="28"/>
          <w:shd w:fill="FFFFFF" w:val="clear"/>
          <w:lang w:val="en-US" w:eastAsia="ru-RU" w:bidi="ar-SA"/>
        </w:rPr>
        <w:t>55,7</w:t>
      </w:r>
      <w:r>
        <w:rPr>
          <w:sz w:val="28"/>
          <w:szCs w:val="28"/>
          <w:shd w:fill="FFFFFF" w:val="clear"/>
        </w:rPr>
        <w:t xml:space="preserve"> млрд. рублей (</w:t>
      </w:r>
      <w:r>
        <w:rPr>
          <w:rFonts w:eastAsia="Times New Roman" w:cs="Times New Roman"/>
          <w:color w:val="000000"/>
          <w:kern w:val="0"/>
          <w:sz w:val="28"/>
          <w:szCs w:val="28"/>
          <w:shd w:fill="FFFFFF" w:val="clear"/>
          <w:lang w:val="en-US" w:eastAsia="ru-RU" w:bidi="ar-SA"/>
        </w:rPr>
        <w:t>101,9</w:t>
      </w:r>
      <w:r>
        <w:rPr>
          <w:sz w:val="28"/>
          <w:szCs w:val="28"/>
          <w:shd w:fill="FFFFFF" w:val="clear"/>
        </w:rPr>
        <w:t xml:space="preserve"> процент</w:t>
      </w:r>
      <w:r>
        <w:rPr>
          <w:sz w:val="28"/>
          <w:szCs w:val="28"/>
          <w:shd w:fill="FFFFFF" w:val="clear"/>
          <w:lang w:val="ru-RU"/>
        </w:rPr>
        <w:t>а</w:t>
      </w:r>
      <w:r>
        <w:rPr>
          <w:sz w:val="28"/>
          <w:szCs w:val="28"/>
          <w:shd w:fill="FFFFFF" w:val="clear"/>
        </w:rPr>
        <w:t xml:space="preserve">), продукции животноводства – </w:t>
      </w:r>
      <w:r>
        <w:rPr>
          <w:rFonts w:eastAsia="Times New Roman" w:cs="Times New Roman"/>
          <w:color w:val="000000"/>
          <w:kern w:val="0"/>
          <w:sz w:val="28"/>
          <w:szCs w:val="28"/>
          <w:shd w:fill="FFFFFF" w:val="clear"/>
          <w:lang w:val="ru-RU" w:eastAsia="ru-RU" w:bidi="ar-SA"/>
        </w:rPr>
        <w:t>54,2</w:t>
      </w:r>
      <w:r>
        <w:rPr>
          <w:sz w:val="28"/>
          <w:szCs w:val="28"/>
          <w:shd w:fill="FFFFFF" w:val="clear"/>
        </w:rPr>
        <w:t xml:space="preserve"> млрд. рублей (</w:t>
      </w:r>
      <w:r>
        <w:rPr>
          <w:bCs/>
          <w:sz w:val="28"/>
          <w:szCs w:val="28"/>
          <w:shd w:fill="FFFFFF" w:val="clear"/>
        </w:rPr>
        <w:t>1</w:t>
      </w:r>
      <w:r>
        <w:rPr>
          <w:rFonts w:eastAsia="Times New Roman" w:cs="Times New Roman"/>
          <w:bCs/>
          <w:color w:val="000000"/>
          <w:kern w:val="0"/>
          <w:sz w:val="28"/>
          <w:szCs w:val="28"/>
          <w:shd w:fill="FFFFFF" w:val="clear"/>
          <w:lang w:val="ru-RU" w:eastAsia="ru-RU" w:bidi="ar-SA"/>
        </w:rPr>
        <w:t>04,0</w:t>
      </w:r>
      <w:r>
        <w:rPr>
          <w:sz w:val="28"/>
          <w:szCs w:val="28"/>
          <w:shd w:fill="FFFFFF" w:val="clear"/>
        </w:rPr>
        <w:t xml:space="preserve"> процента). Доля продукции растениеводства в общем объеме производства составит </w:t>
      </w:r>
      <w:r>
        <w:rPr>
          <w:rFonts w:eastAsia="Times New Roman" w:cs="Times New Roman"/>
          <w:color w:val="000000"/>
          <w:kern w:val="0"/>
          <w:sz w:val="28"/>
          <w:szCs w:val="28"/>
          <w:shd w:fill="FFFFFF" w:val="clear"/>
          <w:lang w:val="ru-RU" w:eastAsia="ru-RU" w:bidi="ar-SA"/>
        </w:rPr>
        <w:t>50,7</w:t>
      </w:r>
      <w:r>
        <w:rPr>
          <w:sz w:val="28"/>
          <w:szCs w:val="28"/>
          <w:shd w:fill="FFFFFF" w:val="clear"/>
        </w:rPr>
        <w:t xml:space="preserve"> процента, животноводства – </w:t>
      </w:r>
      <w:r>
        <w:rPr>
          <w:rFonts w:eastAsia="Times New Roman" w:cs="Times New Roman"/>
          <w:color w:val="000000"/>
          <w:kern w:val="0"/>
          <w:sz w:val="28"/>
          <w:szCs w:val="28"/>
          <w:shd w:fill="FFFFFF" w:val="clear"/>
          <w:lang w:val="ru-RU" w:eastAsia="ru-RU" w:bidi="ar-SA"/>
        </w:rPr>
        <w:t>49,3</w:t>
      </w:r>
      <w:r>
        <w:rPr>
          <w:sz w:val="28"/>
          <w:szCs w:val="28"/>
          <w:shd w:fill="FFFFFF" w:val="clear"/>
        </w:rPr>
        <w:t xml:space="preserve"> процента. </w:t>
      </w:r>
    </w:p>
    <w:p>
      <w:pPr>
        <w:pStyle w:val="Normal"/>
        <w:ind w:right="-5" w:firstLine="708"/>
        <w:jc w:val="both"/>
        <w:rPr>
          <w:shd w:fill="FFFFFF" w:val="clear"/>
        </w:rPr>
      </w:pPr>
      <w:r>
        <w:rPr>
          <w:sz w:val="28"/>
          <w:szCs w:val="28"/>
          <w:shd w:fill="FFFFFF" w:val="clear"/>
        </w:rPr>
        <w:t xml:space="preserve">В 2022 году прогнозируется увеличение объемов производства продукции сельского хозяйства всех категорий до 116,7 млрд. рублей, индекс производства продукции сельского хозяйства составит 102,1 процента к уровню 2021 года, в том числе продукции растениеводства – </w:t>
      </w:r>
      <w:r>
        <w:rPr>
          <w:rFonts w:eastAsia="Times New Roman" w:cs="Times New Roman"/>
          <w:color w:val="000000"/>
          <w:kern w:val="0"/>
          <w:sz w:val="28"/>
          <w:szCs w:val="28"/>
          <w:shd w:fill="FFFFFF" w:val="clear"/>
          <w:lang w:val="ru-RU" w:eastAsia="ru-RU" w:bidi="ar-SA"/>
        </w:rPr>
        <w:t>100,8</w:t>
      </w:r>
      <w:r>
        <w:rPr>
          <w:sz w:val="28"/>
          <w:szCs w:val="28"/>
          <w:shd w:fill="FFFFFF" w:val="clear"/>
        </w:rPr>
        <w:t xml:space="preserve"> процент</w:t>
      </w:r>
      <w:r>
        <w:rPr>
          <w:sz w:val="28"/>
          <w:szCs w:val="28"/>
          <w:shd w:fill="FFFFFF" w:val="clear"/>
          <w:lang w:val="ru-RU"/>
        </w:rPr>
        <w:t>а</w:t>
      </w:r>
      <w:r>
        <w:rPr>
          <w:sz w:val="28"/>
          <w:szCs w:val="28"/>
          <w:shd w:fill="FFFFFF" w:val="clear"/>
        </w:rPr>
        <w:t xml:space="preserve">, продукции животноводства – </w:t>
      </w:r>
      <w:r>
        <w:rPr>
          <w:bCs/>
          <w:sz w:val="28"/>
          <w:szCs w:val="28"/>
          <w:shd w:fill="FFFFFF" w:val="clear"/>
        </w:rPr>
        <w:t>1</w:t>
      </w:r>
      <w:r>
        <w:rPr>
          <w:rFonts w:eastAsia="Times New Roman" w:cs="Times New Roman"/>
          <w:bCs/>
          <w:color w:val="000000"/>
          <w:kern w:val="0"/>
          <w:sz w:val="28"/>
          <w:szCs w:val="28"/>
          <w:shd w:fill="FFFFFF" w:val="clear"/>
          <w:lang w:val="ru-RU" w:eastAsia="ru-RU" w:bidi="ar-SA"/>
        </w:rPr>
        <w:t>03,3</w:t>
      </w:r>
      <w:r>
        <w:rPr>
          <w:sz w:val="28"/>
          <w:szCs w:val="28"/>
          <w:shd w:fill="FFFFFF" w:val="clear"/>
        </w:rPr>
        <w:t xml:space="preserve"> процента.</w:t>
      </w:r>
    </w:p>
    <w:p>
      <w:pPr>
        <w:pStyle w:val="BodyText2"/>
        <w:ind w:firstLine="709"/>
        <w:jc w:val="both"/>
        <w:rPr>
          <w:shd w:fill="FFFFFF" w:val="clear"/>
        </w:rPr>
      </w:pPr>
      <w:r>
        <w:rPr>
          <w:b w:val="false"/>
          <w:bCs w:val="false"/>
          <w:sz w:val="28"/>
          <w:szCs w:val="28"/>
          <w:shd w:fill="FFFFFF" w:val="clear"/>
        </w:rPr>
        <w:t>В 2023-2024 годах прогнозируется индекс производства продукции сельского хозяйства в размере 1</w:t>
      </w:r>
      <w:r>
        <w:rPr>
          <w:rFonts w:eastAsia="Times New Roman" w:cs="Times New Roman"/>
          <w:b w:val="false"/>
          <w:bCs w:val="false"/>
          <w:color w:val="000000"/>
          <w:kern w:val="0"/>
          <w:sz w:val="28"/>
          <w:szCs w:val="28"/>
          <w:shd w:fill="FFFFFF" w:val="clear"/>
          <w:lang w:val="ru-RU" w:eastAsia="ru-RU" w:bidi="ar-SA"/>
        </w:rPr>
        <w:t>03,7</w:t>
      </w:r>
      <w:r>
        <w:rPr>
          <w:b w:val="false"/>
          <w:bCs w:val="false"/>
          <w:sz w:val="28"/>
          <w:szCs w:val="28"/>
          <w:shd w:fill="FFFFFF" w:val="clear"/>
        </w:rPr>
        <w:t xml:space="preserve">-102,4 процента, в том числе по продукции растениеводства – </w:t>
      </w:r>
      <w:r>
        <w:rPr>
          <w:rFonts w:eastAsia="Times New Roman" w:cs="Times New Roman"/>
          <w:b w:val="false"/>
          <w:bCs w:val="false"/>
          <w:color w:val="000000"/>
          <w:kern w:val="0"/>
          <w:sz w:val="28"/>
          <w:szCs w:val="28"/>
          <w:shd w:fill="FFFFFF" w:val="clear"/>
          <w:lang w:val="ru-RU" w:eastAsia="ru-RU" w:bidi="ar-SA"/>
        </w:rPr>
        <w:t>101,0 - 101,1</w:t>
      </w:r>
      <w:r>
        <w:rPr>
          <w:b w:val="false"/>
          <w:bCs w:val="false"/>
          <w:sz w:val="28"/>
          <w:szCs w:val="28"/>
          <w:shd w:fill="FFFFFF" w:val="clear"/>
        </w:rPr>
        <w:t xml:space="preserve"> процента и продукции животноводства – </w:t>
      </w:r>
      <w:r>
        <w:rPr>
          <w:rFonts w:eastAsia="Times New Roman" w:cs="Times New Roman"/>
          <w:b w:val="false"/>
          <w:bCs w:val="false"/>
          <w:color w:val="000000"/>
          <w:kern w:val="0"/>
          <w:sz w:val="28"/>
          <w:szCs w:val="28"/>
          <w:shd w:fill="FFFFFF" w:val="clear"/>
          <w:lang w:val="ru-RU" w:eastAsia="ru-RU" w:bidi="ar-SA"/>
        </w:rPr>
        <w:t>106,0-103,5 процента</w:t>
      </w:r>
      <w:r>
        <w:rPr>
          <w:b w:val="false"/>
          <w:bCs w:val="false"/>
          <w:sz w:val="28"/>
          <w:szCs w:val="28"/>
          <w:shd w:fill="FFFFFF" w:val="clear"/>
        </w:rPr>
        <w:t xml:space="preserve">. Прогнозируемый объем продукции сельского хозяйства в хозяйствах всех категорий в 2023 году составит </w:t>
      </w:r>
      <w:r>
        <w:rPr>
          <w:rFonts w:eastAsia="Times New Roman" w:cs="Times New Roman"/>
          <w:b w:val="false"/>
          <w:bCs w:val="false"/>
          <w:color w:val="000000"/>
          <w:kern w:val="0"/>
          <w:sz w:val="28"/>
          <w:szCs w:val="28"/>
          <w:shd w:fill="FFFFFF" w:val="clear"/>
          <w:lang w:val="ru-RU" w:eastAsia="ru-RU" w:bidi="ar-SA"/>
        </w:rPr>
        <w:t>126,2</w:t>
      </w:r>
      <w:r>
        <w:rPr>
          <w:b w:val="false"/>
          <w:bCs w:val="false"/>
          <w:sz w:val="28"/>
          <w:szCs w:val="28"/>
          <w:shd w:fill="FFFFFF" w:val="clear"/>
        </w:rPr>
        <w:t xml:space="preserve"> млрд. рублей, в 2024 году – </w:t>
      </w:r>
      <w:r>
        <w:rPr>
          <w:rFonts w:eastAsia="Times New Roman" w:cs="Times New Roman"/>
          <w:b w:val="false"/>
          <w:bCs w:val="false"/>
          <w:color w:val="000000"/>
          <w:kern w:val="0"/>
          <w:sz w:val="28"/>
          <w:szCs w:val="28"/>
          <w:shd w:fill="FFFFFF" w:val="clear"/>
          <w:lang w:val="ru-RU" w:eastAsia="ru-RU" w:bidi="ar-SA"/>
        </w:rPr>
        <w:t>135,1</w:t>
      </w:r>
      <w:r>
        <w:rPr>
          <w:b w:val="false"/>
          <w:bCs w:val="false"/>
          <w:sz w:val="28"/>
          <w:szCs w:val="28"/>
          <w:shd w:fill="FFFFFF" w:val="clear"/>
        </w:rPr>
        <w:t xml:space="preserve"> млрд. рублей.</w:t>
      </w:r>
    </w:p>
    <w:p>
      <w:pPr>
        <w:pStyle w:val="Normal"/>
        <w:ind w:right="-5" w:firstLine="708"/>
        <w:jc w:val="both"/>
        <w:rPr>
          <w:shd w:fill="FFFFFF" w:val="clear"/>
        </w:rPr>
      </w:pPr>
      <w:r>
        <w:rPr>
          <w:b w:val="false"/>
          <w:bCs w:val="false"/>
          <w:sz w:val="28"/>
          <w:szCs w:val="28"/>
          <w:shd w:fill="FFFFFF" w:val="clear"/>
        </w:rPr>
        <w:t>Достижение показателей в 2022-2024 годах планируется за счет дальнейшего повышения эффективности сельскохозяйственного производства, реализации новых инвестиционных проектов и государственной поддержки товаропроизводителей.</w:t>
      </w:r>
    </w:p>
    <w:p>
      <w:pPr>
        <w:pStyle w:val="Normal"/>
        <w:spacing w:lineRule="auto" w:line="240" w:before="0" w:after="0"/>
        <w:ind w:firstLine="709"/>
        <w:jc w:val="both"/>
        <w:rPr/>
      </w:pPr>
      <w:r>
        <w:rPr>
          <w:rFonts w:cs="Times New Roman"/>
          <w:sz w:val="28"/>
          <w:szCs w:val="28"/>
          <w:shd w:fill="FFFFFF" w:val="clear"/>
        </w:rPr>
        <w:t xml:space="preserve">Продолжается </w:t>
      </w:r>
      <w:r>
        <w:rPr>
          <w:rFonts w:eastAsia="Times New Roman" w:cs="Times New Roman"/>
          <w:color w:val="000000"/>
          <w:kern w:val="0"/>
          <w:sz w:val="28"/>
          <w:szCs w:val="28"/>
          <w:shd w:fill="FFFFFF" w:val="clear"/>
          <w:lang w:val="ru-RU" w:eastAsia="ru-RU" w:bidi="ar-SA"/>
        </w:rPr>
        <w:t>реализация</w:t>
      </w:r>
      <w:r>
        <w:rPr>
          <w:rFonts w:cs="Times New Roman"/>
          <w:sz w:val="28"/>
          <w:szCs w:val="28"/>
          <w:shd w:fill="FFFFFF" w:val="clear"/>
        </w:rPr>
        <w:t xml:space="preserve"> инвестиционных проектов. В 2020 году наиболее крупные из них - завод готовых кулинарных блюд, строительство фидлота на 80 тыс. голов мясного скота и расширение производства в ООО «Брянская мясная компания». Расширение проекта </w:t>
      </w:r>
      <w:r>
        <w:rPr>
          <w:rStyle w:val="Style11"/>
          <w:rFonts w:cs="Times New Roman"/>
          <w:color w:val="000000"/>
          <w:sz w:val="28"/>
          <w:szCs w:val="28"/>
          <w:shd w:fill="FFFFFF" w:val="clear"/>
        </w:rPr>
        <w:t xml:space="preserve">ООО «Брянский бройлер» </w:t>
      </w:r>
      <w:r>
        <w:rPr>
          <w:rFonts w:eastAsia="+mn-ea" w:cs="Times New Roman"/>
          <w:bCs/>
          <w:color w:val="000000"/>
          <w:kern w:val="2"/>
          <w:sz w:val="28"/>
          <w:szCs w:val="28"/>
          <w:shd w:fill="FFFFFF" w:val="clear"/>
        </w:rPr>
        <w:t>по выращиванию, убою и переработке мяса цыплят бройлеров до 200 тыс. тонн мяса птицы в год.</w:t>
      </w:r>
    </w:p>
    <w:p>
      <w:pPr>
        <w:pStyle w:val="Normal"/>
        <w:spacing w:lineRule="auto" w:line="240" w:before="0" w:after="0"/>
        <w:ind w:firstLine="710"/>
        <w:jc w:val="both"/>
        <w:rPr>
          <w:shd w:fill="FFFFFF" w:val="clear"/>
        </w:rPr>
      </w:pPr>
      <w:r>
        <w:rPr>
          <w:rFonts w:cs="Times New Roman"/>
          <w:sz w:val="28"/>
          <w:szCs w:val="28"/>
          <w:shd w:fill="FFFFFF" w:val="clear"/>
        </w:rPr>
        <w:t>Реализуются проекты по строительству молочно-товарной фермы на 3600 голов дойного стада ООО «Дружба-2» Агрохолдинга «ОХОТНО», молочно-товарной фермы более чем на 2 тысячи скотомест в ООО «Красный Октябрь». В перспективе - строительство молочных ферм в ООО «КомаричиАгро» на 2100 голов, ООО «Колхозник» на 1450 скотомест, расширение производства в колхозе «Прогресс» и других предприятиях.</w:t>
      </w:r>
    </w:p>
    <w:p>
      <w:pPr>
        <w:pStyle w:val="Style16"/>
        <w:shd w:val="clear" w:fill="FFFFFF"/>
        <w:spacing w:lineRule="auto" w:line="240" w:before="0" w:after="0"/>
        <w:ind w:firstLine="709"/>
        <w:jc w:val="both"/>
        <w:rPr/>
      </w:pPr>
      <w:r>
        <w:rPr>
          <w:rStyle w:val="Style11"/>
          <w:rFonts w:cs="Times New Roman"/>
          <w:color w:val="000000"/>
          <w:sz w:val="28"/>
          <w:szCs w:val="28"/>
          <w:shd w:fill="FFFFFF" w:val="clear"/>
        </w:rPr>
        <w:t xml:space="preserve">ООО «Мираторг-Курск» на территории Брянской области реализует инвестиционный проект по созданию свиноводческих комплексов, </w:t>
      </w:r>
      <w:r>
        <w:rPr>
          <w:rStyle w:val="Style11"/>
          <w:rFonts w:eastAsia="Times New Roman" w:cs="Times New Roman"/>
          <w:color w:val="000000"/>
          <w:kern w:val="0"/>
          <w:sz w:val="28"/>
          <w:szCs w:val="28"/>
          <w:shd w:fill="FFFFFF" w:val="clear"/>
          <w:lang w:val="ru-RU" w:eastAsia="ru-RU" w:bidi="ar-SA"/>
        </w:rPr>
        <w:t xml:space="preserve">в рамках которого </w:t>
      </w:r>
      <w:r>
        <w:rPr>
          <w:rStyle w:val="Style11"/>
          <w:rFonts w:cs="Times New Roman"/>
          <w:color w:val="000000"/>
          <w:sz w:val="28"/>
          <w:szCs w:val="28"/>
          <w:shd w:fill="FFFFFF" w:val="clear"/>
        </w:rPr>
        <w:t xml:space="preserve">будет построено </w:t>
      </w:r>
      <w:r>
        <w:rPr>
          <w:rFonts w:cs="Times New Roman"/>
          <w:sz w:val="28"/>
          <w:szCs w:val="28"/>
          <w:shd w:fill="FFFFFF" w:val="clear"/>
        </w:rPr>
        <w:t>10 свиноводческих площадок общей производственной мощностью 183,8 тыс. тонн свинины в живом весе в год.</w:t>
      </w:r>
    </w:p>
    <w:p>
      <w:pPr>
        <w:pStyle w:val="Normal"/>
        <w:spacing w:lineRule="auto" w:line="240" w:before="0" w:after="0"/>
        <w:ind w:firstLine="708"/>
        <w:jc w:val="both"/>
        <w:rPr>
          <w:shd w:fill="FFFFFF" w:val="clear"/>
        </w:rPr>
      </w:pPr>
      <w:bookmarkStart w:id="0" w:name="_GoBack"/>
      <w:bookmarkEnd w:id="0"/>
      <w:r>
        <w:rPr>
          <w:rFonts w:cs="Times New Roman"/>
          <w:b w:val="false"/>
          <w:bCs w:val="false"/>
          <w:sz w:val="28"/>
          <w:szCs w:val="28"/>
          <w:shd w:fill="FFFFFF" w:val="clear"/>
        </w:rPr>
        <w:t>Проекты модернизации животноводческих ферм, хранилищ, других объектов позволяют повысить на предприятиях производительность труда и качество производимой продукции. В 2020 году завершены реконструкция 20 животноводческих ферм, строительство 2 крупных комплексов по хранению картофеля, 6-ти современных высокопроизводительных зерносушильных комплексов, приобретено 140 тракторов и комбайнов, порядка 400 единиц другой техники и оборудования.</w:t>
      </w:r>
    </w:p>
    <w:p>
      <w:pPr>
        <w:pStyle w:val="Normal"/>
        <w:ind w:right="-5" w:firstLine="708"/>
        <w:jc w:val="both"/>
        <w:rPr>
          <w:b w:val="false"/>
          <w:b w:val="false"/>
          <w:bCs w:val="false"/>
          <w:sz w:val="28"/>
          <w:szCs w:val="28"/>
          <w:shd w:fill="FFFFFF" w:val="clear"/>
        </w:rPr>
      </w:pPr>
      <w:r>
        <w:rPr>
          <w:b w:val="false"/>
          <w:bCs w:val="false"/>
          <w:sz w:val="28"/>
          <w:szCs w:val="28"/>
          <w:shd w:fill="FFFFFF" w:val="clear"/>
        </w:rPr>
      </w:r>
    </w:p>
    <w:p>
      <w:pPr>
        <w:pStyle w:val="BodyText3"/>
        <w:jc w:val="center"/>
        <w:rPr>
          <w:shd w:fill="FFFFFF" w:val="clear"/>
        </w:rPr>
      </w:pPr>
      <w:r>
        <w:rPr>
          <w:b/>
          <w:bCs/>
          <w:sz w:val="28"/>
          <w:szCs w:val="28"/>
          <w:shd w:fill="FFFFFF" w:val="clear"/>
        </w:rPr>
        <w:t>5. Жилищное строительство</w:t>
      </w:r>
    </w:p>
    <w:p>
      <w:pPr>
        <w:pStyle w:val="BodyText3"/>
        <w:jc w:val="center"/>
        <w:rPr>
          <w:b/>
          <w:b/>
          <w:bCs/>
          <w:sz w:val="28"/>
          <w:szCs w:val="28"/>
          <w:shd w:fill="FFFFFF" w:val="clear"/>
        </w:rPr>
      </w:pPr>
      <w:r>
        <w:rPr>
          <w:b/>
          <w:bCs/>
          <w:sz w:val="28"/>
          <w:szCs w:val="28"/>
          <w:shd w:fill="FFFFFF" w:val="clear"/>
        </w:rPr>
      </w:r>
    </w:p>
    <w:p>
      <w:pPr>
        <w:pStyle w:val="Normal"/>
        <w:ind w:firstLine="709"/>
        <w:jc w:val="both"/>
        <w:rPr>
          <w:shd w:fill="FFFFFF" w:val="clear"/>
        </w:rPr>
      </w:pPr>
      <w:r>
        <w:rPr>
          <w:sz w:val="28"/>
          <w:szCs w:val="28"/>
          <w:shd w:fill="FFFFFF" w:val="clear"/>
        </w:rPr>
        <w:t xml:space="preserve">В 2020 году объем работ, выполненных по виду деятельности «строительство», составил 46,4 млрд. рублей или 147,6 процента к уровню 2019 года. </w:t>
      </w:r>
    </w:p>
    <w:p>
      <w:pPr>
        <w:pStyle w:val="Normal"/>
        <w:ind w:firstLine="709"/>
        <w:jc w:val="both"/>
        <w:rPr>
          <w:shd w:fill="FFFFFF" w:val="clear"/>
        </w:rPr>
      </w:pPr>
      <w:r>
        <w:rPr>
          <w:sz w:val="28"/>
          <w:szCs w:val="28"/>
          <w:shd w:fill="FFFFFF" w:val="clear"/>
        </w:rPr>
        <w:t>Рост объема строительных работ обеспечен привлечением средств федерального бюджета в объекты капитального строительства за счет реализации региональных проектов:</w:t>
      </w:r>
    </w:p>
    <w:p>
      <w:pPr>
        <w:pStyle w:val="Normal"/>
        <w:ind w:firstLine="709"/>
        <w:jc w:val="both"/>
        <w:rPr>
          <w:shd w:fill="FFFFFF" w:val="clear"/>
        </w:rPr>
      </w:pPr>
      <w:r>
        <w:rPr>
          <w:sz w:val="28"/>
          <w:szCs w:val="28"/>
          <w:shd w:fill="FFFFFF" w:val="clear"/>
        </w:rPr>
        <w:t>региональный проект «</w:t>
      </w:r>
      <w:r>
        <w:rPr>
          <w:rFonts w:eastAsia="Times New Roman" w:cs="Times New Roman"/>
          <w:color w:val="000000"/>
          <w:kern w:val="0"/>
          <w:sz w:val="28"/>
          <w:szCs w:val="28"/>
          <w:shd w:fill="FFFFFF" w:val="clear"/>
          <w:lang w:val="ru-RU" w:eastAsia="ru-RU" w:bidi="ar-SA"/>
        </w:rPr>
        <w:t>Региональная и местная д</w:t>
      </w:r>
      <w:r>
        <w:rPr>
          <w:sz w:val="28"/>
          <w:szCs w:val="28"/>
          <w:shd w:fill="FFFFFF" w:val="clear"/>
        </w:rPr>
        <w:t>орожная сеть (Брянская область)» в рамках национального проекта «Безопасные и качественные дороги» – завершено строительство автомобильной дороги - защитной дамбы Брянск 1 - Брянск 2 г. Брянска (1 этап). За январь-сентябрь 2021 года введено в эксплуатацию 12 объектов капитального ремонта и ремонта автомобильных дорог, в том числе 9 объектов регионального значения протяженностью 31,18 км и 3 объекта местного значения (1,31 км);</w:t>
      </w:r>
    </w:p>
    <w:p>
      <w:pPr>
        <w:pStyle w:val="Normal"/>
        <w:ind w:firstLine="709"/>
        <w:jc w:val="both"/>
        <w:rPr>
          <w:shd w:fill="FFFFFF" w:val="clear"/>
        </w:rPr>
      </w:pPr>
      <w:r>
        <w:rPr>
          <w:sz w:val="28"/>
          <w:szCs w:val="28"/>
          <w:shd w:fill="FFFFFF" w:val="clear"/>
        </w:rPr>
        <w:t>региональный проект «</w:t>
      </w:r>
      <w:r>
        <w:rPr>
          <w:rFonts w:eastAsia="Times New Roman" w:cs="Times New Roman"/>
          <w:color w:val="000000"/>
          <w:kern w:val="0"/>
          <w:sz w:val="28"/>
          <w:szCs w:val="28"/>
          <w:shd w:fill="FFFFFF" w:val="clear"/>
          <w:lang w:val="ru-RU" w:eastAsia="ru-RU" w:bidi="ar-SA"/>
        </w:rPr>
        <w:t>Современная школа (Брянская область)</w:t>
      </w:r>
      <w:r>
        <w:rPr>
          <w:sz w:val="28"/>
          <w:szCs w:val="28"/>
          <w:shd w:fill="FFFFFF" w:val="clear"/>
        </w:rPr>
        <w:t>» в рамках национального проекта «</w:t>
      </w:r>
      <w:r>
        <w:rPr>
          <w:rFonts w:eastAsia="Times New Roman" w:cs="Times New Roman"/>
          <w:color w:val="000000"/>
          <w:kern w:val="0"/>
          <w:sz w:val="28"/>
          <w:szCs w:val="28"/>
          <w:shd w:fill="FFFFFF" w:val="clear"/>
          <w:lang w:val="ru-RU" w:eastAsia="ru-RU" w:bidi="ar-SA"/>
        </w:rPr>
        <w:t>Образование</w:t>
      </w:r>
      <w:r>
        <w:rPr>
          <w:sz w:val="28"/>
          <w:szCs w:val="28"/>
          <w:shd w:fill="FFFFFF" w:val="clear"/>
        </w:rPr>
        <w:t xml:space="preserve">» – </w:t>
      </w:r>
      <w:r>
        <w:rPr>
          <w:rFonts w:eastAsia="Times New Roman" w:cs="Times New Roman"/>
          <w:color w:val="000000"/>
          <w:kern w:val="0"/>
          <w:sz w:val="28"/>
          <w:szCs w:val="28"/>
          <w:shd w:fill="FFFFFF" w:val="clear"/>
          <w:lang w:val="ru-RU" w:eastAsia="ru-RU" w:bidi="ar-SA"/>
        </w:rPr>
        <w:t>ведется</w:t>
      </w:r>
      <w:r>
        <w:rPr>
          <w:sz w:val="28"/>
          <w:szCs w:val="28"/>
          <w:shd w:fill="FFFFFF" w:val="clear"/>
        </w:rPr>
        <w:t xml:space="preserve"> строительство </w:t>
      </w:r>
      <w:r>
        <w:rPr>
          <w:rFonts w:eastAsia="Times New Roman" w:cs="Times New Roman"/>
          <w:color w:val="000000"/>
          <w:kern w:val="0"/>
          <w:sz w:val="28"/>
          <w:szCs w:val="28"/>
          <w:shd w:fill="FFFFFF" w:val="clear"/>
          <w:lang w:val="ru-RU" w:eastAsia="ru-RU" w:bidi="ar-SA"/>
        </w:rPr>
        <w:t>школы в микрорайоне № 4 в Советском районе г. Брянска. Завершено строительства корпуса № 1общеобразовательной школы в пгт Навля;</w:t>
      </w:r>
    </w:p>
    <w:p>
      <w:pPr>
        <w:pStyle w:val="Normal"/>
        <w:ind w:firstLine="709"/>
        <w:jc w:val="both"/>
        <w:rPr>
          <w:shd w:fill="FFFFFF" w:val="clear"/>
        </w:rPr>
      </w:pPr>
      <w:r>
        <w:rPr>
          <w:sz w:val="28"/>
          <w:szCs w:val="28"/>
          <w:shd w:fill="FFFFFF" w:val="clear"/>
        </w:rPr>
        <w:t xml:space="preserve">региональный проект «Содействие занятости </w:t>
      </w:r>
      <w:r>
        <w:rPr>
          <w:rFonts w:eastAsia="Times New Roman" w:cs="Times New Roman"/>
          <w:color w:val="000000"/>
          <w:kern w:val="0"/>
          <w:sz w:val="28"/>
          <w:szCs w:val="28"/>
          <w:shd w:fill="FFFFFF" w:val="clear"/>
          <w:lang w:val="ru-RU" w:eastAsia="ru-RU" w:bidi="ar-SA"/>
        </w:rPr>
        <w:t>(Брянская область)</w:t>
      </w:r>
      <w:r>
        <w:rPr>
          <w:sz w:val="28"/>
          <w:szCs w:val="28"/>
          <w:shd w:fill="FFFFFF" w:val="clear"/>
        </w:rPr>
        <w:t xml:space="preserve">» в рамках </w:t>
      </w:r>
      <w:r>
        <w:rPr>
          <w:spacing w:val="-2"/>
          <w:sz w:val="28"/>
          <w:szCs w:val="28"/>
          <w:shd w:fill="FFFFFF" w:val="clear"/>
        </w:rPr>
        <w:t xml:space="preserve">национального проекта «Демография» – </w:t>
      </w:r>
      <w:r>
        <w:rPr>
          <w:rFonts w:eastAsia="Times New Roman" w:cs="Times New Roman"/>
          <w:color w:val="000000"/>
          <w:spacing w:val="-2"/>
          <w:kern w:val="0"/>
          <w:sz w:val="28"/>
          <w:szCs w:val="28"/>
          <w:shd w:fill="FFFFFF" w:val="clear"/>
          <w:lang w:val="ru-RU" w:eastAsia="ru-RU" w:bidi="ar-SA"/>
        </w:rPr>
        <w:t>ведется</w:t>
      </w:r>
      <w:r>
        <w:rPr>
          <w:spacing w:val="-2"/>
          <w:sz w:val="28"/>
          <w:szCs w:val="28"/>
          <w:shd w:fill="FFFFFF" w:val="clear"/>
        </w:rPr>
        <w:t xml:space="preserve"> строительство  детских садов в г. Почепе, п. Суземка Брянской области, реконструкция здания детского дома под детский сад в г. Жуковка, строительство пристройки на 55 мест в с. Кокино Выгоничского района Брянской области. В рамках федерального проекта «Содействие занятости» национального проекта «Демография» в 2021 году завершено строительство </w:t>
      </w:r>
      <w:r>
        <w:rPr>
          <w:spacing w:val="-2"/>
          <w:kern w:val="0"/>
          <w:sz w:val="28"/>
          <w:szCs w:val="28"/>
          <w:shd w:fill="FFFFFF" w:val="clear"/>
          <w:lang w:val="ru-RU" w:eastAsia="ru-RU" w:bidi="ar-SA"/>
        </w:rPr>
        <w:t xml:space="preserve">детского сада по ул. им. О.Н. Строкина в районе </w:t>
      </w:r>
      <w:r>
        <w:rPr>
          <w:rFonts w:eastAsia="Times New Roman" w:cs="Times New Roman"/>
          <w:color w:val="000000"/>
          <w:spacing w:val="-2"/>
          <w:kern w:val="0"/>
          <w:sz w:val="28"/>
          <w:szCs w:val="28"/>
          <w:shd w:fill="FFFFFF" w:val="clear"/>
          <w:lang w:val="ru-RU" w:eastAsia="ru-RU" w:bidi="ar-SA"/>
        </w:rPr>
        <w:t>бывшего</w:t>
      </w:r>
      <w:r>
        <w:rPr>
          <w:spacing w:val="-2"/>
          <w:kern w:val="0"/>
          <w:sz w:val="28"/>
          <w:szCs w:val="28"/>
          <w:shd w:fill="FFFFFF" w:val="clear"/>
          <w:lang w:val="ru-RU" w:eastAsia="ru-RU" w:bidi="ar-SA"/>
        </w:rPr>
        <w:t xml:space="preserve"> аэропорта в Советском районе г. Брянска</w:t>
      </w:r>
      <w:r>
        <w:rPr>
          <w:spacing w:val="-2"/>
          <w:sz w:val="28"/>
          <w:szCs w:val="28"/>
          <w:shd w:fill="FFFFFF" w:val="clear"/>
        </w:rPr>
        <w:t>;</w:t>
      </w:r>
    </w:p>
    <w:p>
      <w:pPr>
        <w:pStyle w:val="Normal"/>
        <w:ind w:firstLine="709"/>
        <w:jc w:val="both"/>
        <w:rPr>
          <w:shd w:fill="FFFFFF" w:val="clear"/>
        </w:rPr>
      </w:pPr>
      <w:r>
        <w:rPr>
          <w:sz w:val="28"/>
          <w:szCs w:val="28"/>
          <w:shd w:fill="FFFFFF" w:val="clear"/>
        </w:rPr>
        <w:t xml:space="preserve">региональный проект «Спорт – норма жизни (Брянская область)» в рамках национального проекта «Демография» – строительство комплекса спортивных площадок в Бежицком районе г. Брянска, физкультурно-оздоровительного комплекса в г. Брянске для ГБУ БО СШОР «Локомотив», физкультурно-оздоровительного комплекса в </w:t>
      </w:r>
      <w:r>
        <w:rPr>
          <w:rFonts w:eastAsia="Times New Roman" w:cs="Times New Roman"/>
          <w:color w:val="000000"/>
          <w:kern w:val="0"/>
          <w:sz w:val="28"/>
          <w:szCs w:val="28"/>
          <w:shd w:fill="FFFFFF" w:val="clear"/>
          <w:lang w:val="ru-RU" w:eastAsia="ru-RU" w:bidi="ar-SA"/>
        </w:rPr>
        <w:t>н.п.</w:t>
      </w:r>
      <w:r>
        <w:rPr>
          <w:sz w:val="28"/>
          <w:szCs w:val="28"/>
          <w:shd w:fill="FFFFFF" w:val="clear"/>
        </w:rPr>
        <w:t xml:space="preserve"> Выгоничи Брянской области, крытого футбольного манежа в Бежицком районе г. Брянска для ГБУ БО СШ «Динамо-Брянск», областного центра лыжного спорта в г. Брянске, реконструкция ледового дворца «Пересвет» в г. Брянске, завершение строительства дворца единоборств в Советском районе г. Брянска.</w:t>
      </w:r>
    </w:p>
    <w:p>
      <w:pPr>
        <w:pStyle w:val="Normal"/>
        <w:ind w:firstLine="709"/>
        <w:jc w:val="both"/>
        <w:rPr>
          <w:shd w:fill="FFFFFF" w:val="clear"/>
        </w:rPr>
      </w:pPr>
      <w:r>
        <w:rPr>
          <w:sz w:val="28"/>
          <w:szCs w:val="28"/>
          <w:shd w:fill="FFFFFF" w:val="clear"/>
        </w:rPr>
        <w:t xml:space="preserve">В 2021 году объем работ, выполненных по виду деятельности «строительство», оценивается в </w:t>
      </w:r>
      <w:r>
        <w:rPr>
          <w:rFonts w:eastAsia="Times New Roman" w:cs="Times New Roman"/>
          <w:color w:val="000000"/>
          <w:kern w:val="0"/>
          <w:sz w:val="28"/>
          <w:szCs w:val="28"/>
          <w:shd w:fill="FFFFFF" w:val="clear"/>
          <w:lang w:val="ru-RU" w:eastAsia="ru-RU" w:bidi="ar-SA"/>
        </w:rPr>
        <w:t>55,1</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112,8</w:t>
      </w:r>
      <w:r>
        <w:rPr>
          <w:sz w:val="28"/>
          <w:szCs w:val="28"/>
          <w:shd w:fill="FFFFFF" w:val="clear"/>
        </w:rPr>
        <w:t xml:space="preserve"> процента к уровню 2020 года. </w:t>
      </w:r>
    </w:p>
    <w:p>
      <w:pPr>
        <w:pStyle w:val="Normal"/>
        <w:ind w:firstLine="709"/>
        <w:jc w:val="both"/>
        <w:rPr>
          <w:shd w:fill="FFFFFF" w:val="clear"/>
        </w:rPr>
      </w:pPr>
      <w:r>
        <w:rPr>
          <w:sz w:val="28"/>
          <w:szCs w:val="28"/>
          <w:shd w:fill="FFFFFF" w:val="clear"/>
        </w:rPr>
        <w:t xml:space="preserve">По прогнозным расчетам рост объема строительных работ в 2022 году составит </w:t>
      </w:r>
      <w:r>
        <w:rPr>
          <w:rFonts w:eastAsia="Times New Roman" w:cs="Times New Roman"/>
          <w:color w:val="000000"/>
          <w:kern w:val="0"/>
          <w:sz w:val="28"/>
          <w:szCs w:val="28"/>
          <w:shd w:fill="FFFFFF" w:val="clear"/>
          <w:lang w:val="ru-RU" w:eastAsia="ru-RU" w:bidi="ar-SA"/>
        </w:rPr>
        <w:t>4,8</w:t>
      </w:r>
      <w:r>
        <w:rPr>
          <w:sz w:val="28"/>
          <w:szCs w:val="28"/>
          <w:shd w:fill="FFFFFF" w:val="clear"/>
        </w:rPr>
        <w:t xml:space="preserve"> процента, в 2023 году – 5,1 процента, в 2024 году – 5,3 процента (в сопоставимых ценах к предыдущему году). При этом общий объем работ, выполненных по виду деятельности «строительство», в 2022 году прогнозируется в объеме </w:t>
      </w:r>
      <w:r>
        <w:rPr>
          <w:rFonts w:eastAsia="Times New Roman" w:cs="Times New Roman"/>
          <w:color w:val="000000"/>
          <w:kern w:val="0"/>
          <w:sz w:val="28"/>
          <w:szCs w:val="28"/>
          <w:shd w:fill="FFFFFF" w:val="clear"/>
          <w:lang w:val="ru-RU" w:eastAsia="ru-RU" w:bidi="ar-SA"/>
        </w:rPr>
        <w:t>60,2</w:t>
      </w:r>
      <w:r>
        <w:rPr>
          <w:sz w:val="28"/>
          <w:szCs w:val="28"/>
          <w:shd w:fill="FFFFFF" w:val="clear"/>
        </w:rPr>
        <w:t xml:space="preserve"> млрд. рублей, в 2023 году – </w:t>
      </w:r>
      <w:r>
        <w:rPr>
          <w:rFonts w:eastAsia="Times New Roman" w:cs="Times New Roman"/>
          <w:color w:val="000000"/>
          <w:kern w:val="0"/>
          <w:sz w:val="28"/>
          <w:szCs w:val="28"/>
          <w:shd w:fill="FFFFFF" w:val="clear"/>
          <w:lang w:val="ru-RU" w:eastAsia="ru-RU" w:bidi="ar-SA"/>
        </w:rPr>
        <w:t>65,9</w:t>
      </w:r>
      <w:r>
        <w:rPr>
          <w:sz w:val="28"/>
          <w:szCs w:val="28"/>
          <w:shd w:fill="FFFFFF" w:val="clear"/>
        </w:rPr>
        <w:t xml:space="preserve"> млрд. рублей, в 2024 году – </w:t>
      </w:r>
      <w:r>
        <w:rPr>
          <w:rFonts w:eastAsia="Times New Roman" w:cs="Times New Roman"/>
          <w:color w:val="000000"/>
          <w:kern w:val="0"/>
          <w:sz w:val="28"/>
          <w:szCs w:val="28"/>
          <w:shd w:fill="FFFFFF" w:val="clear"/>
          <w:lang w:val="ru-RU" w:eastAsia="ru-RU" w:bidi="ar-SA"/>
        </w:rPr>
        <w:t>72,3</w:t>
      </w:r>
      <w:r>
        <w:rPr>
          <w:sz w:val="28"/>
          <w:szCs w:val="28"/>
          <w:shd w:fill="FFFFFF" w:val="clear"/>
        </w:rPr>
        <w:t xml:space="preserve"> млрд. рублей. </w:t>
      </w:r>
    </w:p>
    <w:p>
      <w:pPr>
        <w:pStyle w:val="Normal"/>
        <w:ind w:firstLine="709"/>
        <w:jc w:val="both"/>
        <w:rPr>
          <w:shd w:fill="FFFFFF" w:val="clear"/>
        </w:rPr>
      </w:pPr>
      <w:r>
        <w:rPr>
          <w:sz w:val="28"/>
          <w:szCs w:val="28"/>
          <w:shd w:fill="FFFFFF" w:val="clear"/>
        </w:rPr>
        <w:t>Одним из наиболее приоритетных направлений строительной отрасли является развитие жилищного строительства.</w:t>
      </w:r>
    </w:p>
    <w:p>
      <w:pPr>
        <w:pStyle w:val="Normal"/>
        <w:ind w:firstLine="709"/>
        <w:jc w:val="both"/>
        <w:rPr>
          <w:shd w:fill="FFFFFF" w:val="clear"/>
        </w:rPr>
      </w:pPr>
      <w:r>
        <w:rPr>
          <w:sz w:val="28"/>
          <w:szCs w:val="28"/>
          <w:shd w:fill="FFFFFF" w:val="clear"/>
        </w:rPr>
        <w:t>За 2020 год введено в эксплуатацию за счет всех источников финансирования 426,7 тыс. кв. метров жилой площади (104,8 процента к уровню 2019 года), в том числе индивидуальными застройщиками сдано 175,1 тыс. кв. метров (</w:t>
      </w:r>
      <w:r>
        <w:rPr>
          <w:rFonts w:eastAsia="Times New Roman" w:cs="Times New Roman"/>
          <w:color w:val="000000"/>
          <w:kern w:val="0"/>
          <w:sz w:val="28"/>
          <w:szCs w:val="28"/>
          <w:shd w:fill="FFFFFF" w:val="clear"/>
          <w:lang w:val="ru-RU" w:eastAsia="ru-RU" w:bidi="ar-SA"/>
        </w:rPr>
        <w:t>120,1 процента</w:t>
      </w:r>
      <w:r>
        <w:rPr>
          <w:sz w:val="28"/>
          <w:szCs w:val="28"/>
          <w:shd w:fill="FFFFFF" w:val="clear"/>
        </w:rPr>
        <w:t>).</w:t>
      </w:r>
    </w:p>
    <w:p>
      <w:pPr>
        <w:pStyle w:val="Normal"/>
        <w:ind w:firstLine="709"/>
        <w:jc w:val="both"/>
        <w:rPr>
          <w:shd w:fill="FFFFFF" w:val="clear"/>
        </w:rPr>
      </w:pPr>
      <w:r>
        <w:rPr>
          <w:sz w:val="28"/>
          <w:szCs w:val="28"/>
          <w:shd w:fill="FFFFFF" w:val="clear"/>
        </w:rPr>
        <w:t>В рамках подпрограммы «Стимулирование развития жилищного строительства в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на территории Брянской области реализуется региональный проект «Жилье (Брянская область)».</w:t>
      </w:r>
    </w:p>
    <w:p>
      <w:pPr>
        <w:pStyle w:val="Normal"/>
        <w:ind w:firstLine="709"/>
        <w:jc w:val="both"/>
        <w:rPr>
          <w:shd w:fill="FFFFFF" w:val="clear"/>
        </w:rPr>
      </w:pPr>
      <w:r>
        <w:rPr>
          <w:sz w:val="28"/>
          <w:szCs w:val="28"/>
          <w:shd w:fill="FFFFFF" w:val="clear"/>
        </w:rPr>
        <w:t>В настоящее время в стадии строительства находятся 85 многоквартирных жилых домов общей площадью 612,8 тыс. кв. метров.</w:t>
      </w:r>
    </w:p>
    <w:p>
      <w:pPr>
        <w:pStyle w:val="Normal"/>
        <w:ind w:firstLine="709"/>
        <w:jc w:val="both"/>
        <w:rPr>
          <w:shd w:fill="FFFFFF" w:val="clear"/>
        </w:rPr>
      </w:pPr>
      <w:r>
        <w:rPr>
          <w:sz w:val="28"/>
          <w:szCs w:val="28"/>
          <w:shd w:fill="FFFFFF" w:val="clear"/>
        </w:rPr>
        <w:t xml:space="preserve">В 2021 году предполагается ввести в эксплуатацию за счет всех источников финансирования 436,0 тыс. кв. метров жилой площади, что на 2,2 процента больше уровня 2020 года, в том числе индивидуальными застройщиками – </w:t>
      </w:r>
      <w:r>
        <w:rPr>
          <w:rFonts w:eastAsia="Times New Roman" w:cs="Times New Roman"/>
          <w:color w:val="000000"/>
          <w:kern w:val="0"/>
          <w:sz w:val="28"/>
          <w:szCs w:val="28"/>
          <w:shd w:fill="FFFFFF" w:val="clear"/>
          <w:lang w:val="ru-RU" w:eastAsia="ru-RU" w:bidi="ar-SA"/>
        </w:rPr>
        <w:t>263</w:t>
      </w:r>
      <w:r>
        <w:rPr>
          <w:sz w:val="28"/>
          <w:szCs w:val="28"/>
          <w:shd w:fill="FFFFFF" w:val="clear"/>
        </w:rPr>
        <w:t xml:space="preserve"> тыс. кв. метров (</w:t>
      </w:r>
      <w:r>
        <w:rPr>
          <w:rFonts w:eastAsia="Times New Roman" w:cs="Times New Roman"/>
          <w:color w:val="000000"/>
          <w:kern w:val="0"/>
          <w:sz w:val="28"/>
          <w:szCs w:val="28"/>
          <w:shd w:fill="FFFFFF" w:val="clear"/>
          <w:lang w:val="ru-RU" w:eastAsia="ru-RU" w:bidi="ar-SA"/>
        </w:rPr>
        <w:t>бол</w:t>
      </w:r>
      <w:r>
        <w:rPr>
          <w:sz w:val="28"/>
          <w:szCs w:val="28"/>
          <w:shd w:fill="FFFFFF" w:val="clear"/>
        </w:rPr>
        <w:t xml:space="preserve">ьше </w:t>
      </w:r>
      <w:r>
        <w:rPr>
          <w:rFonts w:eastAsia="Times New Roman" w:cs="Times New Roman"/>
          <w:color w:val="000000"/>
          <w:kern w:val="0"/>
          <w:sz w:val="28"/>
          <w:szCs w:val="28"/>
          <w:shd w:fill="FFFFFF" w:val="clear"/>
          <w:lang w:val="ru-RU" w:eastAsia="ru-RU" w:bidi="ar-SA"/>
        </w:rPr>
        <w:t>в 1,5 раза</w:t>
      </w:r>
      <w:r>
        <w:rPr>
          <w:sz w:val="28"/>
          <w:szCs w:val="28"/>
          <w:shd w:fill="FFFFFF" w:val="clear"/>
        </w:rPr>
        <w:t xml:space="preserve">). </w:t>
      </w:r>
    </w:p>
    <w:p>
      <w:pPr>
        <w:pStyle w:val="Style16"/>
        <w:ind w:firstLine="709"/>
        <w:rPr>
          <w:shd w:fill="FFFFFF" w:val="clear"/>
        </w:rPr>
      </w:pPr>
      <w:r>
        <w:rPr>
          <w:sz w:val="28"/>
          <w:szCs w:val="28"/>
          <w:shd w:fill="FFFFFF" w:val="clear"/>
        </w:rPr>
        <w:t xml:space="preserve">В Брянской области активно развивается комплексная застройка территорий, которая в отличие от точечной застройки отвечает современным требованиям к комфортному жилью, обеспечению городских территорий развитой инфраструктурой.  Так на территории региона реализуются шесть крупных проектов: застройка на территории </w:t>
      </w:r>
      <w:r>
        <w:rPr>
          <w:rFonts w:eastAsia="Times New Roman" w:cs="Times New Roman"/>
          <w:color w:val="000000"/>
          <w:kern w:val="0"/>
          <w:sz w:val="28"/>
          <w:szCs w:val="28"/>
          <w:shd w:fill="FFFFFF" w:val="clear"/>
          <w:lang w:val="ru-RU" w:eastAsia="ru-RU" w:bidi="ar-SA"/>
        </w:rPr>
        <w:t>бывшего</w:t>
      </w:r>
      <w:r>
        <w:rPr>
          <w:sz w:val="28"/>
          <w:szCs w:val="28"/>
          <w:shd w:fill="FFFFFF" w:val="clear"/>
        </w:rPr>
        <w:t xml:space="preserve"> аэропорта в Советском районе г. Брянска, застройка по улице Флотской в Бежицком районе г. Брянска,  строительство жилых комплексов «Мичуринский Город-Парк» и «Мегаполис-Парк» в микрорайоне Мичуринский Брянского района, строительство жилого комплекса «Мегаполис-Парк» на территории пос. Путевка Брянского района, комплексная застройка в пос. Мичуринский и территории перспективной застройки ГНУ ВНИИ Люпина пос. Мичуринский. </w:t>
      </w:r>
    </w:p>
    <w:p>
      <w:pPr>
        <w:pStyle w:val="Style16"/>
        <w:ind w:firstLine="709"/>
        <w:rPr>
          <w:shd w:fill="FFFFFF" w:val="clear"/>
        </w:rPr>
      </w:pPr>
      <w:r>
        <w:rPr>
          <w:sz w:val="28"/>
          <w:szCs w:val="28"/>
          <w:shd w:fill="FFFFFF" w:val="clear"/>
        </w:rPr>
        <w:t xml:space="preserve">В целях стимулирования жилищного строительства </w:t>
      </w:r>
      <w:r>
        <w:rPr>
          <w:rFonts w:eastAsia="Times New Roman" w:cs="Times New Roman"/>
          <w:color w:val="000000"/>
          <w:kern w:val="0"/>
          <w:sz w:val="28"/>
          <w:szCs w:val="28"/>
          <w:shd w:fill="FFFFFF" w:val="clear"/>
          <w:lang w:val="ru-RU" w:eastAsia="ru-RU" w:bidi="ar-SA"/>
        </w:rPr>
        <w:t>на территории Брянской области в рамках</w:t>
      </w:r>
      <w:r>
        <w:rPr>
          <w:sz w:val="28"/>
          <w:szCs w:val="28"/>
          <w:shd w:fill="FFFFFF" w:val="clear"/>
        </w:rPr>
        <w:t xml:space="preserve"> федерального проекта «Жилье» в 2021-2024 годах  </w:t>
      </w:r>
      <w:r>
        <w:rPr>
          <w:rFonts w:eastAsia="Times New Roman" w:cs="Times New Roman"/>
          <w:color w:val="000000"/>
          <w:kern w:val="0"/>
          <w:sz w:val="28"/>
          <w:szCs w:val="28"/>
          <w:shd w:fill="FFFFFF" w:val="clear"/>
          <w:lang w:val="ru-RU" w:eastAsia="ru-RU" w:bidi="ar-SA"/>
        </w:rPr>
        <w:t>запланировано</w:t>
      </w:r>
      <w:r>
        <w:rPr>
          <w:sz w:val="28"/>
          <w:szCs w:val="28"/>
          <w:shd w:fill="FFFFFF" w:val="clear"/>
        </w:rPr>
        <w:t xml:space="preserve"> строительство двух автомобильных дорог по ул. им. Визнюка и по ул. Ильи Иванова общей протяженностью 3,2 км.</w:t>
      </w:r>
    </w:p>
    <w:p>
      <w:pPr>
        <w:pStyle w:val="Style16"/>
        <w:ind w:firstLine="709"/>
        <w:rPr>
          <w:shd w:fill="FFFFFF" w:val="clear"/>
        </w:rPr>
      </w:pPr>
      <w:r>
        <w:rPr>
          <w:sz w:val="28"/>
          <w:szCs w:val="28"/>
          <w:shd w:fill="FFFFFF" w:val="clear"/>
        </w:rPr>
        <w:t xml:space="preserve">В рамках регионального проекта Брянской области «Жилье» в 2022-2024 годах прогнозируется ввод в эксплуатацию жилых домов за счет всех источников финансирования в объеме 1375 тыс. кв. метров, в том числе в 2022 году –  432,0 тыс. кв. метров, в 2023 году – 450,0 тыс. кв. метров, в 2024 году – 493,0 тыс. кв. метров. </w:t>
      </w:r>
    </w:p>
    <w:p>
      <w:pPr>
        <w:pStyle w:val="Normal"/>
        <w:ind w:firstLine="709"/>
        <w:jc w:val="both"/>
        <w:rPr>
          <w:shd w:fill="FFFFFF" w:val="clear"/>
        </w:rPr>
      </w:pPr>
      <w:r>
        <w:rPr>
          <w:i w:val="false"/>
          <w:iCs w:val="false"/>
          <w:sz w:val="28"/>
          <w:szCs w:val="28"/>
          <w:shd w:fill="FFFFFF" w:val="clear"/>
        </w:rPr>
        <w:t>В 2020 году обеспеченность жителей жильем составила 31,1 кв. метров общей площади в среднем на 1 человека (по итогам 2019 года – 30,5 кв. метров). В 2021 году обеспеченность жильем составит 31,8 кв. метра. В 2024 году прогнозируется рост значения показателя до 33,7 кв. метров, что на 6,0 процентов больше уровня 2021 года.</w:t>
      </w:r>
    </w:p>
    <w:p>
      <w:pPr>
        <w:pStyle w:val="Normal"/>
        <w:ind w:firstLine="709"/>
        <w:jc w:val="both"/>
        <w:rPr>
          <w:shd w:fill="FFFFFF" w:val="clear"/>
        </w:rPr>
      </w:pPr>
      <w:r>
        <w:rPr>
          <w:shd w:fill="FFFFFF" w:val="clear"/>
        </w:rPr>
      </w:r>
    </w:p>
    <w:p>
      <w:pPr>
        <w:pStyle w:val="Normal"/>
        <w:jc w:val="center"/>
        <w:rPr>
          <w:shd w:fill="FFFFFF" w:val="clear"/>
        </w:rPr>
      </w:pPr>
      <w:r>
        <w:rPr>
          <w:b/>
          <w:sz w:val="28"/>
          <w:szCs w:val="28"/>
          <w:shd w:fill="FFFFFF" w:val="clear"/>
        </w:rPr>
        <w:t xml:space="preserve">6. </w:t>
      </w:r>
      <w:r>
        <w:rPr>
          <w:b/>
          <w:bCs/>
          <w:sz w:val="28"/>
          <w:szCs w:val="28"/>
          <w:shd w:fill="FFFFFF" w:val="clear"/>
        </w:rPr>
        <w:t>Потребительский рынок</w:t>
      </w:r>
    </w:p>
    <w:p>
      <w:pPr>
        <w:pStyle w:val="Normal"/>
        <w:jc w:val="center"/>
        <w:rPr>
          <w:b/>
          <w:b/>
          <w:sz w:val="28"/>
          <w:szCs w:val="28"/>
          <w:shd w:fill="FFFFFF" w:val="clear"/>
        </w:rPr>
      </w:pPr>
      <w:r>
        <w:rPr>
          <w:b/>
          <w:sz w:val="28"/>
          <w:szCs w:val="28"/>
          <w:shd w:fill="FFFFFF" w:val="clear"/>
        </w:rPr>
      </w:r>
    </w:p>
    <w:p>
      <w:pPr>
        <w:pStyle w:val="Normal"/>
        <w:ind w:firstLine="709"/>
        <w:jc w:val="both"/>
        <w:rPr>
          <w:shd w:fill="FFFFFF" w:val="clear"/>
        </w:rPr>
      </w:pPr>
      <w:r>
        <w:rPr>
          <w:sz w:val="28"/>
          <w:szCs w:val="28"/>
          <w:shd w:fill="FFFFFF" w:val="clear"/>
        </w:rPr>
        <w:t xml:space="preserve">Распространение новой коронавирусной инфекции оказало существенное влияние на потребительскую активность населения. В 2020 году оборот розничной торговли составил 268,0 млрд. рублей или 95,4 процента к уровню 2019 года (в сопоставимых ценах). </w:t>
      </w:r>
    </w:p>
    <w:p>
      <w:pPr>
        <w:pStyle w:val="Normal"/>
        <w:ind w:firstLine="709"/>
        <w:jc w:val="both"/>
        <w:rPr>
          <w:shd w:fill="FFFFFF" w:val="clear"/>
        </w:rPr>
      </w:pPr>
      <w:r>
        <w:rPr>
          <w:sz w:val="28"/>
          <w:szCs w:val="28"/>
          <w:shd w:fill="FFFFFF" w:val="clear"/>
        </w:rPr>
        <w:t>Торговая сеть Брянской области представлена 1771 предприятием, реализующим продовольственные товары, 3599 предприятиями, реализующими непродовольственные товары и 2079 предприятий – со смешанным ассортиментом.</w:t>
      </w:r>
    </w:p>
    <w:p>
      <w:pPr>
        <w:pStyle w:val="Normal"/>
        <w:ind w:firstLine="708"/>
        <w:jc w:val="both"/>
        <w:rPr>
          <w:shd w:fill="FFFFFF" w:val="clear"/>
        </w:rPr>
      </w:pPr>
      <w:r>
        <w:rPr>
          <w:rFonts w:eastAsia="Calibri"/>
          <w:sz w:val="28"/>
          <w:szCs w:val="28"/>
          <w:shd w:fill="FFFFFF" w:val="clear"/>
        </w:rPr>
        <w:t>П</w:t>
      </w:r>
      <w:r>
        <w:rPr>
          <w:sz w:val="28"/>
          <w:szCs w:val="28"/>
          <w:shd w:fill="FFFFFF" w:val="clear"/>
        </w:rPr>
        <w:t>отребительский рынок Брянской области на протяжении долгого времени остается одним из наиболее устойчивых к рискам экономического развития секторов экономики. В 2020 году уровень обеспеченности населения области площадью торговых объектов к нормативу, утвержденному постановлением Правительства Брянской области от 19 декабря 2016 года № 638-п, составляет 187,9 процента (фактическая обеспеченность торговыми площадями по Брянской области составляет 947,0 кв.м на 1000 жителей при нормативе 504,0 кв.м на 1000 жителей).</w:t>
      </w:r>
    </w:p>
    <w:p>
      <w:pPr>
        <w:pStyle w:val="Normal"/>
        <w:ind w:firstLine="709"/>
        <w:jc w:val="both"/>
        <w:rPr>
          <w:shd w:fill="FFFFFF" w:val="clear"/>
        </w:rPr>
      </w:pPr>
      <w:r>
        <w:rPr>
          <w:sz w:val="28"/>
          <w:szCs w:val="28"/>
          <w:shd w:fill="FFFFFF" w:val="clear"/>
        </w:rPr>
        <w:t xml:space="preserve">Начиная с апреля 2021 года на годовую динамику показателей оказывает влияние низкая база соответствующих месяцев </w:t>
      </w:r>
      <w:r>
        <w:rPr>
          <w:rFonts w:eastAsia="Times New Roman" w:cs="Times New Roman"/>
          <w:color w:val="000000"/>
          <w:kern w:val="0"/>
          <w:sz w:val="28"/>
          <w:szCs w:val="28"/>
          <w:shd w:fill="FFFFFF" w:val="clear"/>
          <w:lang w:val="ru-RU" w:eastAsia="ru-RU" w:bidi="ar-SA"/>
        </w:rPr>
        <w:t>2020</w:t>
      </w:r>
      <w:r>
        <w:rPr>
          <w:sz w:val="28"/>
          <w:szCs w:val="28"/>
          <w:shd w:fill="FFFFFF" w:val="clear"/>
        </w:rPr>
        <w:t xml:space="preserve"> года, сложившаяся под влиянием карантинных ограничений, направленных на борьбу с распространением новой коронавирусной инфекции. Высокий рост потребительского спроса в первом полугодии 2021 года внесли временные факторы, включая отложенный спрос, который сформировался в результате карантинных ограничений. </w:t>
      </w:r>
    </w:p>
    <w:p>
      <w:pPr>
        <w:pStyle w:val="Normal"/>
        <w:ind w:firstLine="709"/>
        <w:jc w:val="both"/>
        <w:rPr>
          <w:shd w:fill="FFFFFF" w:val="clear"/>
        </w:rPr>
      </w:pPr>
      <w:r>
        <w:rPr>
          <w:sz w:val="28"/>
          <w:szCs w:val="28"/>
          <w:shd w:fill="FFFFFF" w:val="clear"/>
        </w:rPr>
        <w:t>В результате, оборот розничной торговли в 2021 году оценивается в 301,3 млрд. рублей, что состав</w:t>
      </w:r>
      <w:r>
        <w:rPr>
          <w:rFonts w:eastAsia="Times New Roman" w:cs="Times New Roman"/>
          <w:color w:val="000000"/>
          <w:kern w:val="0"/>
          <w:sz w:val="28"/>
          <w:szCs w:val="28"/>
          <w:shd w:fill="FFFFFF" w:val="clear"/>
          <w:lang w:val="ru-RU" w:eastAsia="ru-RU" w:bidi="ar-SA"/>
        </w:rPr>
        <w:t>ит</w:t>
      </w:r>
      <w:r>
        <w:rPr>
          <w:sz w:val="28"/>
          <w:szCs w:val="28"/>
          <w:shd w:fill="FFFFFF" w:val="clear"/>
        </w:rPr>
        <w:t xml:space="preserve"> 105,0 процентов к уровню 2020 года. В результате постепенного восстановления потребительского спроса в 2022 году оборот розничной торговли прогнозируется в объеме 323,7 млрд. рублей или 102,8 процента (в сопоставимых ценах) к уровню 2021 года, в 2023 году-  346,1 млрд. рублей (102,9 к уровню 2022 года), в 2024 году – 370,4 млрд. рублей (102,9 к уровню 2023 года).</w:t>
      </w:r>
    </w:p>
    <w:p>
      <w:pPr>
        <w:pStyle w:val="Normal"/>
        <w:ind w:firstLine="709"/>
        <w:jc w:val="both"/>
        <w:rPr>
          <w:shd w:fill="FFFFFF" w:val="clear"/>
        </w:rPr>
      </w:pPr>
      <w:r>
        <w:rPr>
          <w:sz w:val="28"/>
          <w:szCs w:val="28"/>
          <w:shd w:fill="FFFFFF" w:val="clear"/>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pPr>
        <w:pStyle w:val="Normal"/>
        <w:ind w:firstLine="709"/>
        <w:jc w:val="both"/>
        <w:rPr>
          <w:shd w:fill="FFFFFF" w:val="clear"/>
        </w:rPr>
      </w:pPr>
      <w:r>
        <w:rPr>
          <w:sz w:val="28"/>
          <w:szCs w:val="28"/>
          <w:shd w:fill="FFFFFF" w:val="clear"/>
        </w:rPr>
        <w:t>Тенденции, сложившиеся на потребительском рынке, отразились и на динамике платных услуг. Объем платных услуг, оказанных населению (с учетом экспертной оценки объемов услуг по недоучтенным предприятиям и оказываемых физическими лицами), в 2020 году составил 52,3 млрд. рублей или 90,1 процента к уровню 2019 года (в сопоставимых ценах).</w:t>
      </w:r>
    </w:p>
    <w:p>
      <w:pPr>
        <w:pStyle w:val="Normal"/>
        <w:ind w:firstLine="709"/>
        <w:jc w:val="both"/>
        <w:rPr>
          <w:shd w:fill="FFFFFF" w:val="clear"/>
        </w:rPr>
      </w:pPr>
      <w:r>
        <w:rPr>
          <w:sz w:val="28"/>
          <w:szCs w:val="28"/>
          <w:shd w:fill="FFFFFF" w:val="clear"/>
        </w:rPr>
        <w:t>В 2021 году объем платных услуг населению оценивается в 60,7 млрд. рублей, что составит 113,0 процентов к уровню 2020 года (в сопоставимых ценах).</w:t>
      </w:r>
    </w:p>
    <w:p>
      <w:pPr>
        <w:pStyle w:val="Normal"/>
        <w:ind w:firstLine="709"/>
        <w:jc w:val="both"/>
        <w:rPr>
          <w:shd w:fill="FFFFFF" w:val="clear"/>
        </w:rPr>
      </w:pPr>
      <w:r>
        <w:rPr>
          <w:sz w:val="28"/>
          <w:szCs w:val="28"/>
          <w:shd w:fill="FFFFFF" w:val="clear"/>
        </w:rPr>
        <w:t>В 2022 году прогнозируется рост объема платных услуг населению с 65,5 млрд. рублей (103,8 процента к 2021 году) до 75,4 млрд. рублей в 2024 году (103,1 процента к 2023 году).</w:t>
      </w:r>
    </w:p>
    <w:p>
      <w:pPr>
        <w:pStyle w:val="Normal"/>
        <w:ind w:firstLine="709"/>
        <w:jc w:val="both"/>
        <w:rPr>
          <w:shd w:fill="FFFFFF" w:val="clear"/>
        </w:rPr>
      </w:pPr>
      <w:r>
        <w:rPr>
          <w:sz w:val="28"/>
          <w:szCs w:val="28"/>
          <w:shd w:fill="FFFFFF" w:val="clear"/>
        </w:rPr>
        <w:t xml:space="preserve">В 2021 году наблюдается увеличение годовых темпов роста потребительских цен. В сегменте непродовольственных товаров в первом полугодии текущего года наблюдался ускоренный рост цен на отдельные товары с высокой импортной составляющей. При этом стабилизирующее влияние на инфляцию (в первую очередь, на цены социально-значимых товаров) в 2021 году оказывали меры на рынках отдельных товаров, которые включали соглашения с производителями, программы субсидирования, отдельные внешнеторговые меры, принятые Правительством Российской Федерации. Вместе с тем в 2021 году индекс потребительских цен ожидается в 106,2 процента в среднегодовом исчислении. С учетом </w:t>
      </w:r>
      <w:r>
        <w:rPr>
          <w:rFonts w:eastAsia="Times New Roman" w:cs="Times New Roman"/>
          <w:color w:val="000000"/>
          <w:kern w:val="0"/>
          <w:sz w:val="28"/>
          <w:szCs w:val="28"/>
          <w:shd w:fill="FFFFFF" w:val="clear"/>
          <w:lang w:val="ru-RU" w:eastAsia="ru-RU" w:bidi="ar-SA"/>
        </w:rPr>
        <w:t>проведения</w:t>
      </w:r>
      <w:r>
        <w:rPr>
          <w:sz w:val="28"/>
          <w:szCs w:val="28"/>
          <w:shd w:fill="FFFFFF" w:val="clear"/>
        </w:rPr>
        <w:t xml:space="preserve"> Банк</w:t>
      </w:r>
      <w:r>
        <w:rPr>
          <w:sz w:val="28"/>
          <w:szCs w:val="28"/>
          <w:shd w:fill="FFFFFF" w:val="clear"/>
        </w:rPr>
        <w:t>ом</w:t>
      </w:r>
      <w:r>
        <w:rPr>
          <w:sz w:val="28"/>
          <w:szCs w:val="28"/>
          <w:shd w:fill="FFFFFF" w:val="clear"/>
        </w:rPr>
        <w:t xml:space="preserve"> России </w:t>
      </w:r>
      <w:r>
        <w:rPr>
          <w:sz w:val="28"/>
          <w:szCs w:val="28"/>
          <w:shd w:fill="FFFFFF" w:val="clear"/>
        </w:rPr>
        <w:t xml:space="preserve">умеренно жесткой </w:t>
      </w:r>
      <w:r>
        <w:rPr>
          <w:sz w:val="28"/>
          <w:szCs w:val="28"/>
          <w:shd w:fill="FFFFFF" w:val="clear"/>
        </w:rPr>
        <w:t xml:space="preserve">денежно-кредитной политики, </w:t>
      </w:r>
      <w:r>
        <w:rPr>
          <w:sz w:val="28"/>
          <w:szCs w:val="28"/>
          <w:shd w:fill="FFFFFF" w:val="clear"/>
        </w:rPr>
        <w:t>направленной на сдерживание инфляционных процессов,</w:t>
      </w:r>
      <w:r>
        <w:rPr>
          <w:sz w:val="28"/>
          <w:szCs w:val="28"/>
          <w:shd w:fill="FFFFFF" w:val="clear"/>
        </w:rPr>
        <w:t xml:space="preserve"> в 2022 - 2024 годах индекс потребительских цен в среднегодовом исчислении прогнозируется в размере 104,0 процента.</w:t>
      </w:r>
    </w:p>
    <w:p>
      <w:pPr>
        <w:pStyle w:val="Normal"/>
        <w:ind w:left="0" w:right="0" w:firstLine="709"/>
        <w:jc w:val="both"/>
        <w:rPr>
          <w:sz w:val="28"/>
          <w:szCs w:val="28"/>
          <w:shd w:fill="FFFFFF" w:val="clear"/>
        </w:rPr>
      </w:pPr>
      <w:r>
        <w:rPr>
          <w:sz w:val="28"/>
          <w:szCs w:val="28"/>
          <w:shd w:fill="FFFFFF" w:val="clear"/>
        </w:rPr>
      </w:r>
    </w:p>
    <w:p>
      <w:pPr>
        <w:pStyle w:val="Normal"/>
        <w:jc w:val="center"/>
        <w:rPr>
          <w:shd w:fill="FFFFFF" w:val="clear"/>
        </w:rPr>
      </w:pPr>
      <w:r>
        <w:rPr>
          <w:b/>
          <w:sz w:val="28"/>
          <w:szCs w:val="28"/>
          <w:shd w:fill="FFFFFF" w:val="clear"/>
        </w:rPr>
        <w:t>7. Внешнеэкономическая деятельность</w:t>
      </w:r>
    </w:p>
    <w:p>
      <w:pPr>
        <w:pStyle w:val="Normal"/>
        <w:jc w:val="center"/>
        <w:rPr>
          <w:b/>
          <w:b/>
          <w:sz w:val="28"/>
          <w:szCs w:val="28"/>
          <w:shd w:fill="FFFFFF" w:val="clear"/>
        </w:rPr>
      </w:pPr>
      <w:r>
        <w:rPr>
          <w:b/>
          <w:sz w:val="28"/>
          <w:szCs w:val="28"/>
          <w:shd w:fill="FFFFFF" w:val="clear"/>
        </w:rPr>
      </w:r>
    </w:p>
    <w:p>
      <w:pPr>
        <w:pStyle w:val="Normal"/>
        <w:tabs>
          <w:tab w:val="clear" w:pos="708"/>
          <w:tab w:val="left" w:pos="1134" w:leader="none"/>
        </w:tabs>
        <w:ind w:firstLine="680"/>
        <w:jc w:val="both"/>
        <w:rPr>
          <w:shd w:fill="FFFFFF" w:val="clear"/>
        </w:rPr>
      </w:pPr>
      <w:r>
        <w:rPr>
          <w:sz w:val="28"/>
          <w:szCs w:val="28"/>
          <w:shd w:fill="FFFFFF" w:val="clear"/>
        </w:rPr>
        <w:t xml:space="preserve">В 2020 году предприятия и организации, зарегистрированные в Брянской области, осуществляли торговлю со 112 странами мира. </w:t>
      </w:r>
    </w:p>
    <w:p>
      <w:pPr>
        <w:pStyle w:val="Normal"/>
        <w:tabs>
          <w:tab w:val="clear" w:pos="708"/>
          <w:tab w:val="left" w:pos="1134" w:leader="none"/>
        </w:tabs>
        <w:ind w:firstLine="709"/>
        <w:jc w:val="both"/>
        <w:rPr>
          <w:shd w:fill="FFFFFF" w:val="clear"/>
        </w:rPr>
      </w:pPr>
      <w:r>
        <w:rPr>
          <w:sz w:val="28"/>
          <w:szCs w:val="28"/>
          <w:shd w:fill="FFFFFF" w:val="clear"/>
        </w:rPr>
        <w:t xml:space="preserve">Основными торговыми партнерами Брянской области в 2020 году были: Беларусь – </w:t>
      </w:r>
      <w:r>
        <w:rPr>
          <w:rFonts w:eastAsia="Times New Roman" w:cs="Times New Roman"/>
          <w:color w:val="000000"/>
          <w:kern w:val="0"/>
          <w:sz w:val="28"/>
          <w:szCs w:val="28"/>
          <w:shd w:fill="FFFFFF" w:val="clear"/>
          <w:lang w:val="ru-RU" w:eastAsia="ru-RU" w:bidi="ar-SA"/>
        </w:rPr>
        <w:t>38,5</w:t>
      </w:r>
      <w:r>
        <w:rPr>
          <w:sz w:val="28"/>
          <w:szCs w:val="28"/>
          <w:shd w:fill="FFFFFF" w:val="clear"/>
        </w:rPr>
        <w:t xml:space="preserve">  процента от всего товарооборота области, Китай – 8,4 процента, Нидерланды – </w:t>
      </w:r>
      <w:r>
        <w:rPr>
          <w:rFonts w:eastAsia="Times New Roman" w:cs="Times New Roman"/>
          <w:color w:val="000000"/>
          <w:kern w:val="0"/>
          <w:sz w:val="28"/>
          <w:szCs w:val="28"/>
          <w:shd w:fill="FFFFFF" w:val="clear"/>
          <w:lang w:val="en-US" w:eastAsia="ru-RU" w:bidi="ar-SA"/>
        </w:rPr>
        <w:t>7,8</w:t>
      </w:r>
      <w:r>
        <w:rPr>
          <w:sz w:val="28"/>
          <w:szCs w:val="28"/>
          <w:shd w:fill="FFFFFF" w:val="clear"/>
        </w:rPr>
        <w:t xml:space="preserve"> процента, Молдова – </w:t>
      </w:r>
      <w:r>
        <w:rPr>
          <w:rFonts w:eastAsia="Times New Roman" w:cs="Times New Roman"/>
          <w:color w:val="000000"/>
          <w:kern w:val="0"/>
          <w:sz w:val="28"/>
          <w:szCs w:val="28"/>
          <w:shd w:fill="FFFFFF" w:val="clear"/>
          <w:lang w:val="en-US" w:eastAsia="ru-RU" w:bidi="ar-SA"/>
        </w:rPr>
        <w:t>5,6</w:t>
      </w:r>
      <w:r>
        <w:rPr>
          <w:sz w:val="28"/>
          <w:szCs w:val="28"/>
          <w:shd w:fill="FFFFFF" w:val="clear"/>
        </w:rPr>
        <w:t xml:space="preserve"> процента, Германия – </w:t>
      </w:r>
      <w:r>
        <w:rPr>
          <w:rFonts w:eastAsia="Times New Roman" w:cs="Times New Roman"/>
          <w:color w:val="000000"/>
          <w:kern w:val="0"/>
          <w:sz w:val="28"/>
          <w:szCs w:val="28"/>
          <w:shd w:fill="FFFFFF" w:val="clear"/>
          <w:lang w:val="en-US" w:eastAsia="ru-RU" w:bidi="ar-SA"/>
        </w:rPr>
        <w:t>4,4</w:t>
      </w:r>
      <w:r>
        <w:rPr>
          <w:sz w:val="28"/>
          <w:szCs w:val="28"/>
          <w:shd w:fill="FFFFFF" w:val="clear"/>
        </w:rPr>
        <w:t xml:space="preserve"> процент</w:t>
      </w:r>
      <w:r>
        <w:rPr>
          <w:sz w:val="28"/>
          <w:szCs w:val="28"/>
          <w:shd w:fill="FFFFFF" w:val="clear"/>
          <w:lang w:val="ru-RU"/>
        </w:rPr>
        <w:t>а</w:t>
      </w:r>
      <w:r>
        <w:rPr>
          <w:sz w:val="28"/>
          <w:szCs w:val="28"/>
          <w:shd w:fill="FFFFFF" w:val="clear"/>
        </w:rPr>
        <w:t xml:space="preserve">, Испания — 3,9 процента, Украина -3,8 процента, Австралия – 3,3 процента, Италия – </w:t>
      </w:r>
      <w:r>
        <w:rPr>
          <w:rFonts w:eastAsia="Times New Roman" w:cs="Times New Roman"/>
          <w:color w:val="000000"/>
          <w:kern w:val="0"/>
          <w:sz w:val="28"/>
          <w:szCs w:val="28"/>
          <w:shd w:fill="FFFFFF" w:val="clear"/>
          <w:lang w:val="ru-RU" w:eastAsia="ru-RU" w:bidi="ar-SA"/>
        </w:rPr>
        <w:t>2,5</w:t>
      </w:r>
      <w:r>
        <w:rPr>
          <w:sz w:val="28"/>
          <w:szCs w:val="28"/>
          <w:shd w:fill="FFFFFF" w:val="clear"/>
        </w:rPr>
        <w:t xml:space="preserve"> процента, Дания – 2,0 процента.</w:t>
      </w:r>
    </w:p>
    <w:p>
      <w:pPr>
        <w:pStyle w:val="Normal"/>
        <w:tabs>
          <w:tab w:val="clear" w:pos="708"/>
          <w:tab w:val="left" w:pos="1134" w:leader="none"/>
        </w:tabs>
        <w:spacing w:lineRule="auto" w:line="240" w:before="0" w:after="0"/>
        <w:ind w:left="0" w:right="0" w:firstLine="709"/>
        <w:jc w:val="both"/>
        <w:rPr>
          <w:shd w:fill="FFFFFF" w:val="clear"/>
        </w:rPr>
      </w:pPr>
      <w:r>
        <w:rPr>
          <w:rFonts w:cs="Times New Roman"/>
          <w:sz w:val="28"/>
          <w:szCs w:val="28"/>
          <w:shd w:fill="FFFFFF" w:val="clear"/>
        </w:rPr>
        <w:t xml:space="preserve">Правительством Брянской области заключено 12 соглашений об осуществлении международных и внешнеэкономических связей с регионами Республики Беларусь, Украины, Молдовы, </w:t>
      </w:r>
      <w:r>
        <w:rPr>
          <w:rFonts w:eastAsia="Times New Roman" w:cs="Times New Roman"/>
          <w:color w:val="000000"/>
          <w:kern w:val="0"/>
          <w:sz w:val="28"/>
          <w:szCs w:val="28"/>
          <w:shd w:fill="FFFFFF" w:val="clear"/>
          <w:lang w:val="ru-RU" w:eastAsia="ru-RU" w:bidi="ar-SA"/>
        </w:rPr>
        <w:t>которые</w:t>
      </w:r>
      <w:r>
        <w:rPr>
          <w:rFonts w:cs="Times New Roman"/>
          <w:sz w:val="28"/>
          <w:szCs w:val="28"/>
          <w:shd w:fill="FFFFFF" w:val="clear"/>
        </w:rPr>
        <w:t xml:space="preserve"> включены в государственный реестр Минюста России.</w:t>
      </w:r>
    </w:p>
    <w:p>
      <w:pPr>
        <w:pStyle w:val="Normal"/>
        <w:tabs>
          <w:tab w:val="clear" w:pos="708"/>
          <w:tab w:val="left" w:pos="1134" w:leader="none"/>
        </w:tabs>
        <w:ind w:firstLine="680"/>
        <w:jc w:val="both"/>
        <w:rPr>
          <w:shd w:fill="FFFFFF" w:val="clear"/>
        </w:rPr>
      </w:pPr>
      <w:r>
        <w:rPr>
          <w:sz w:val="28"/>
          <w:szCs w:val="28"/>
          <w:shd w:fill="FFFFFF" w:val="clear"/>
        </w:rPr>
        <w:t>В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году внешнеторговый оборот области составил </w:t>
      </w:r>
      <w:r>
        <w:rPr>
          <w:rFonts w:eastAsia="Times New Roman" w:cs="Times New Roman"/>
          <w:color w:val="000000"/>
          <w:kern w:val="0"/>
          <w:sz w:val="28"/>
          <w:szCs w:val="28"/>
          <w:shd w:fill="FFFFFF" w:val="clear"/>
          <w:lang w:val="ru-RU" w:eastAsia="ru-RU" w:bidi="ar-SA"/>
        </w:rPr>
        <w:t>1402,1</w:t>
      </w:r>
      <w:r>
        <w:rPr>
          <w:sz w:val="28"/>
          <w:szCs w:val="28"/>
          <w:shd w:fill="FFFFFF" w:val="clear"/>
        </w:rPr>
        <w:t xml:space="preserve"> млн. долларов США и по сравнению с 2019 годом увеличился на </w:t>
      </w:r>
      <w:r>
        <w:rPr>
          <w:rFonts w:eastAsia="Times New Roman" w:cs="Times New Roman"/>
          <w:color w:val="000000"/>
          <w:kern w:val="0"/>
          <w:sz w:val="28"/>
          <w:szCs w:val="28"/>
          <w:shd w:fill="FFFFFF" w:val="clear"/>
          <w:lang w:val="ru-RU" w:eastAsia="ru-RU" w:bidi="ar-SA"/>
        </w:rPr>
        <w:t>11,7</w:t>
      </w:r>
      <w:r>
        <w:rPr>
          <w:sz w:val="28"/>
          <w:szCs w:val="28"/>
          <w:shd w:fill="FFFFFF" w:val="clear"/>
        </w:rPr>
        <w:t xml:space="preserve"> процента. Э</w:t>
      </w:r>
      <w:r>
        <w:rPr>
          <w:bCs/>
          <w:sz w:val="28"/>
          <w:szCs w:val="28"/>
          <w:shd w:fill="FFFFFF" w:val="clear"/>
        </w:rPr>
        <w:t xml:space="preserve">кспорт товаров составил </w:t>
      </w:r>
      <w:r>
        <w:rPr>
          <w:rFonts w:eastAsia="Times New Roman" w:cs="Times New Roman"/>
          <w:bCs/>
          <w:color w:val="000000"/>
          <w:kern w:val="0"/>
          <w:sz w:val="28"/>
          <w:szCs w:val="28"/>
          <w:shd w:fill="FFFFFF" w:val="clear"/>
          <w:lang w:val="ru-RU" w:eastAsia="ru-RU" w:bidi="ar-SA"/>
        </w:rPr>
        <w:t>378,7</w:t>
      </w:r>
      <w:r>
        <w:rPr>
          <w:sz w:val="28"/>
          <w:szCs w:val="28"/>
          <w:shd w:fill="FFFFFF" w:val="clear"/>
        </w:rPr>
        <w:t xml:space="preserve"> млн. долларов США, что на 0,4 процента меньше уровня 2019 года. Уменьшение экспорта товаров обусловлено снижением экспортных поставок в страны СНГ на 11,7 процента к уровню 2019 года. Импорт</w:t>
      </w:r>
      <w:r>
        <w:rPr>
          <w:b/>
          <w:sz w:val="28"/>
          <w:szCs w:val="28"/>
          <w:shd w:fill="FFFFFF" w:val="clear"/>
        </w:rPr>
        <w:t xml:space="preserve"> </w:t>
      </w:r>
      <w:r>
        <w:rPr>
          <w:b w:val="false"/>
          <w:bCs w:val="false"/>
          <w:sz w:val="28"/>
          <w:szCs w:val="28"/>
          <w:shd w:fill="FFFFFF" w:val="clear"/>
        </w:rPr>
        <w:t>товаров</w:t>
      </w:r>
      <w:r>
        <w:rPr>
          <w:sz w:val="28"/>
          <w:szCs w:val="28"/>
          <w:shd w:fill="FFFFFF" w:val="clear"/>
        </w:rPr>
        <w:t xml:space="preserve"> составил 1023,4 млн. долларов США или 117,0 процентов к уровню 2019 года.</w:t>
      </w:r>
    </w:p>
    <w:p>
      <w:pPr>
        <w:pStyle w:val="Normal"/>
        <w:tabs>
          <w:tab w:val="clear" w:pos="708"/>
          <w:tab w:val="left" w:pos="1134" w:leader="none"/>
        </w:tabs>
        <w:ind w:firstLine="680"/>
        <w:jc w:val="both"/>
        <w:rPr>
          <w:shd w:fill="FFFFFF" w:val="clear"/>
        </w:rPr>
      </w:pPr>
      <w:r>
        <w:rPr>
          <w:sz w:val="28"/>
          <w:szCs w:val="28"/>
          <w:shd w:fill="FFFFFF" w:val="clear"/>
        </w:rPr>
        <w:t xml:space="preserve">Товарооборот Брянской области со странами дальнего зарубежья за 2020 год составил </w:t>
      </w:r>
      <w:r>
        <w:rPr>
          <w:rFonts w:eastAsia="Times New Roman" w:cs="Times New Roman"/>
          <w:color w:val="000000"/>
          <w:kern w:val="0"/>
          <w:sz w:val="28"/>
          <w:szCs w:val="28"/>
          <w:shd w:fill="FFFFFF" w:val="clear"/>
          <w:lang w:val="ru-RU" w:eastAsia="ru-RU" w:bidi="ar-SA"/>
        </w:rPr>
        <w:t>672,4</w:t>
      </w:r>
      <w:r>
        <w:rPr>
          <w:sz w:val="28"/>
          <w:szCs w:val="28"/>
          <w:shd w:fill="FFFFFF" w:val="clear"/>
        </w:rPr>
        <w:t xml:space="preserve"> млн. долларов США и по сравнению с 2019 годом увеличился на </w:t>
      </w:r>
      <w:r>
        <w:rPr>
          <w:rFonts w:eastAsia="Times New Roman" w:cs="Times New Roman"/>
          <w:color w:val="000000"/>
          <w:kern w:val="0"/>
          <w:sz w:val="28"/>
          <w:szCs w:val="28"/>
          <w:shd w:fill="FFFFFF" w:val="clear"/>
          <w:lang w:val="ru-RU" w:eastAsia="ru-RU" w:bidi="ar-SA"/>
        </w:rPr>
        <w:t>23,6</w:t>
      </w:r>
      <w:r>
        <w:rPr>
          <w:sz w:val="28"/>
          <w:szCs w:val="28"/>
          <w:shd w:fill="FFFFFF" w:val="clear"/>
        </w:rPr>
        <w:t xml:space="preserve"> процента. Экспорт в страны дальнего зарубежья увеличился на </w:t>
      </w:r>
      <w:r>
        <w:rPr>
          <w:rFonts w:eastAsia="Times New Roman" w:cs="Times New Roman"/>
          <w:color w:val="000000"/>
          <w:kern w:val="0"/>
          <w:sz w:val="28"/>
          <w:szCs w:val="28"/>
          <w:shd w:fill="FFFFFF" w:val="clear"/>
          <w:lang w:val="ru-RU" w:eastAsia="ru-RU" w:bidi="ar-SA"/>
        </w:rPr>
        <w:t>21,7</w:t>
      </w:r>
      <w:r>
        <w:rPr>
          <w:sz w:val="28"/>
          <w:szCs w:val="28"/>
          <w:shd w:fill="FFFFFF" w:val="clear"/>
        </w:rPr>
        <w:t xml:space="preserve"> процента и составил </w:t>
      </w:r>
      <w:r>
        <w:rPr>
          <w:rFonts w:eastAsia="Times New Roman" w:cs="Times New Roman"/>
          <w:color w:val="000000"/>
          <w:kern w:val="0"/>
          <w:sz w:val="28"/>
          <w:szCs w:val="28"/>
          <w:shd w:fill="FFFFFF" w:val="clear"/>
          <w:lang w:val="ru-RU" w:eastAsia="ru-RU" w:bidi="ar-SA"/>
        </w:rPr>
        <w:t>156,9</w:t>
      </w:r>
      <w:r>
        <w:rPr>
          <w:sz w:val="28"/>
          <w:szCs w:val="28"/>
          <w:shd w:fill="FFFFFF" w:val="clear"/>
        </w:rPr>
        <w:t xml:space="preserve"> млн. долларов США, импорт из стран дальнего зарубежья увеличился на </w:t>
      </w:r>
      <w:r>
        <w:rPr>
          <w:rFonts w:eastAsia="Times New Roman" w:cs="Times New Roman"/>
          <w:color w:val="000000"/>
          <w:kern w:val="0"/>
          <w:sz w:val="28"/>
          <w:szCs w:val="28"/>
          <w:shd w:fill="FFFFFF" w:val="clear"/>
          <w:lang w:val="ru-RU" w:eastAsia="ru-RU" w:bidi="ar-SA"/>
        </w:rPr>
        <w:t>24,2</w:t>
      </w:r>
      <w:r>
        <w:rPr>
          <w:sz w:val="28"/>
          <w:szCs w:val="28"/>
          <w:shd w:fill="FFFFFF" w:val="clear"/>
        </w:rPr>
        <w:t xml:space="preserve"> процента и составил </w:t>
      </w:r>
      <w:r>
        <w:rPr>
          <w:rFonts w:eastAsia="Times New Roman" w:cs="Times New Roman"/>
          <w:color w:val="000000"/>
          <w:kern w:val="0"/>
          <w:sz w:val="28"/>
          <w:szCs w:val="28"/>
          <w:shd w:fill="FFFFFF" w:val="clear"/>
          <w:lang w:val="ru-RU" w:eastAsia="ru-RU" w:bidi="ar-SA"/>
        </w:rPr>
        <w:t>515,5</w:t>
      </w:r>
      <w:r>
        <w:rPr>
          <w:sz w:val="28"/>
          <w:szCs w:val="28"/>
          <w:shd w:fill="FFFFFF" w:val="clear"/>
        </w:rPr>
        <w:t xml:space="preserve"> млн. долларов США.</w:t>
      </w:r>
    </w:p>
    <w:p>
      <w:pPr>
        <w:pStyle w:val="Normal"/>
        <w:tabs>
          <w:tab w:val="clear" w:pos="708"/>
          <w:tab w:val="left" w:pos="1134" w:leader="none"/>
        </w:tabs>
        <w:ind w:firstLine="709"/>
        <w:jc w:val="both"/>
        <w:rPr>
          <w:shd w:fill="FFFFFF" w:val="clear"/>
        </w:rPr>
      </w:pPr>
      <w:r>
        <w:rPr>
          <w:sz w:val="28"/>
          <w:szCs w:val="28"/>
          <w:shd w:fill="FFFFFF" w:val="clear"/>
        </w:rPr>
        <w:t>Товарооборот Брянской области с государствами СНГ (с учётом стран - членов ЕАЭС) в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году составил </w:t>
      </w:r>
      <w:r>
        <w:rPr>
          <w:rFonts w:eastAsia="Times New Roman" w:cs="Times New Roman"/>
          <w:color w:val="000000"/>
          <w:kern w:val="0"/>
          <w:sz w:val="28"/>
          <w:szCs w:val="28"/>
          <w:shd w:fill="FFFFFF" w:val="clear"/>
          <w:lang w:val="ru-RU" w:eastAsia="ru-RU" w:bidi="ar-SA"/>
        </w:rPr>
        <w:t>729,7</w:t>
      </w:r>
      <w:r>
        <w:rPr>
          <w:sz w:val="28"/>
          <w:szCs w:val="28"/>
          <w:shd w:fill="FFFFFF" w:val="clear"/>
        </w:rPr>
        <w:t xml:space="preserve"> млн. долларов США, что на </w:t>
      </w:r>
      <w:r>
        <w:rPr>
          <w:rFonts w:eastAsia="Times New Roman" w:cs="Times New Roman"/>
          <w:color w:val="000000"/>
          <w:kern w:val="0"/>
          <w:sz w:val="28"/>
          <w:szCs w:val="28"/>
          <w:shd w:fill="FFFFFF" w:val="clear"/>
          <w:lang w:val="ru-RU" w:eastAsia="ru-RU" w:bidi="ar-SA"/>
        </w:rPr>
        <w:t>2,6</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больш</w:t>
      </w:r>
      <w:r>
        <w:rPr>
          <w:sz w:val="28"/>
          <w:szCs w:val="28"/>
          <w:shd w:fill="FFFFFF" w:val="clear"/>
        </w:rPr>
        <w:t xml:space="preserve">е, чем в 2019 году. Импорт из стран СНГ </w:t>
      </w:r>
      <w:r>
        <w:rPr>
          <w:rFonts w:eastAsia="Times New Roman" w:cs="Times New Roman"/>
          <w:color w:val="000000"/>
          <w:kern w:val="0"/>
          <w:sz w:val="28"/>
          <w:szCs w:val="28"/>
          <w:shd w:fill="FFFFFF" w:val="clear"/>
          <w:lang w:val="ru-RU" w:eastAsia="ru-RU" w:bidi="ar-SA"/>
        </w:rPr>
        <w:t>увеличился</w:t>
      </w:r>
      <w:r>
        <w:rPr>
          <w:sz w:val="28"/>
          <w:szCs w:val="28"/>
          <w:shd w:fill="FFFFFF" w:val="clear"/>
        </w:rPr>
        <w:t xml:space="preserve"> на </w:t>
      </w:r>
      <w:r>
        <w:rPr>
          <w:rFonts w:eastAsia="Times New Roman" w:cs="Times New Roman"/>
          <w:color w:val="000000"/>
          <w:kern w:val="0"/>
          <w:sz w:val="28"/>
          <w:szCs w:val="28"/>
          <w:shd w:fill="FFFFFF" w:val="clear"/>
          <w:lang w:val="ru-RU" w:eastAsia="ru-RU" w:bidi="ar-SA"/>
        </w:rPr>
        <w:t>10,5</w:t>
      </w:r>
      <w:r>
        <w:rPr>
          <w:sz w:val="28"/>
          <w:szCs w:val="28"/>
          <w:shd w:fill="FFFFFF" w:val="clear"/>
        </w:rPr>
        <w:t xml:space="preserve"> процента и составил </w:t>
      </w:r>
      <w:r>
        <w:rPr>
          <w:rFonts w:eastAsia="Times New Roman" w:cs="Times New Roman"/>
          <w:color w:val="000000"/>
          <w:kern w:val="0"/>
          <w:sz w:val="28"/>
          <w:szCs w:val="28"/>
          <w:shd w:fill="FFFFFF" w:val="clear"/>
          <w:lang w:val="ru-RU" w:eastAsia="ru-RU" w:bidi="ar-SA"/>
        </w:rPr>
        <w:t xml:space="preserve">507,9 </w:t>
      </w:r>
      <w:r>
        <w:rPr>
          <w:sz w:val="28"/>
          <w:szCs w:val="28"/>
          <w:shd w:fill="FFFFFF" w:val="clear"/>
        </w:rPr>
        <w:t xml:space="preserve">млн. долларов США, экспорт в страны СНГ  </w:t>
      </w:r>
      <w:r>
        <w:rPr>
          <w:rFonts w:eastAsia="Times New Roman" w:cs="Times New Roman"/>
          <w:color w:val="000000"/>
          <w:kern w:val="0"/>
          <w:sz w:val="28"/>
          <w:szCs w:val="28"/>
          <w:shd w:fill="FFFFFF" w:val="clear"/>
          <w:lang w:val="ru-RU" w:eastAsia="ru-RU" w:bidi="ar-SA"/>
        </w:rPr>
        <w:t>уменьшился</w:t>
      </w:r>
      <w:r>
        <w:rPr>
          <w:sz w:val="28"/>
          <w:szCs w:val="28"/>
          <w:shd w:fill="FFFFFF" w:val="clear"/>
        </w:rPr>
        <w:t xml:space="preserve"> на 11,7 процента и составил 221,8 млн. долларов США. </w:t>
      </w:r>
      <w:r>
        <w:rPr>
          <w:rFonts w:eastAsia="Times New Roman" w:cs="Times New Roman"/>
          <w:color w:val="000000"/>
          <w:kern w:val="0"/>
          <w:sz w:val="28"/>
          <w:szCs w:val="28"/>
          <w:shd w:fill="FFFFFF" w:val="clear"/>
          <w:lang w:val="ru-RU" w:eastAsia="ru-RU" w:bidi="ar-SA"/>
        </w:rPr>
        <w:t>На снижение стоимости экспорта в страны СНГ повлияло уменьшение вывоза российских товаров в Республику Беларусь на 13,9 процента или 24,4 млн. долларов США.</w:t>
      </w:r>
    </w:p>
    <w:p>
      <w:pPr>
        <w:pStyle w:val="Normal"/>
        <w:widowControl/>
        <w:suppressAutoHyphens w:val="true"/>
        <w:bidi w:val="0"/>
        <w:spacing w:before="0" w:after="0"/>
        <w:ind w:left="0" w:right="0" w:firstLine="624"/>
        <w:jc w:val="both"/>
        <w:rPr>
          <w:shd w:fill="FFFFFF" w:val="clear"/>
        </w:rPr>
      </w:pPr>
      <w:r>
        <w:rPr>
          <w:rFonts w:eastAsia="Times New Roman" w:cs="Times New Roman"/>
          <w:color w:val="000000"/>
          <w:kern w:val="0"/>
          <w:sz w:val="28"/>
          <w:szCs w:val="28"/>
          <w:shd w:fill="FFFFFF" w:val="clear"/>
          <w:lang w:val="ru-RU" w:eastAsia="ru-RU" w:bidi="ar-SA"/>
        </w:rPr>
        <w:t>В 2020 году в товарной структуре экспорта Брянской области  преобладали  продовольственные товары и сельскохозяйственное сырье для их производства — 146,1 млн. долларов США (доля в общем объеме экспорта составляла 38,6 процента), машины, оборудование и транспортные средства — 95,1 млн. долларов США (25,1 процента), древесина и целлюлозно-бумажные изделия — 56,1 млн. долларов США (14,8 процента), металлы и изделия из них — 41,5 млн. долларов США  (11,0 процентов), продукция химической промышленности, каучук - 24,7 млн. долларов США (6,5 процента).</w:t>
      </w:r>
    </w:p>
    <w:p>
      <w:pPr>
        <w:pStyle w:val="Normal"/>
        <w:tabs>
          <w:tab w:val="clear" w:pos="708"/>
          <w:tab w:val="left" w:pos="1134" w:leader="none"/>
        </w:tabs>
        <w:ind w:firstLine="709"/>
        <w:jc w:val="both"/>
        <w:rPr>
          <w:shd w:fill="FFFFFF" w:val="clear"/>
        </w:rPr>
      </w:pPr>
      <w:r>
        <w:rPr>
          <w:rFonts w:eastAsia="Times New Roman" w:cs="Times New Roman"/>
          <w:color w:val="000000"/>
          <w:kern w:val="0"/>
          <w:sz w:val="28"/>
          <w:szCs w:val="28"/>
          <w:shd w:fill="FFFFFF" w:val="clear"/>
          <w:lang w:val="ru-RU" w:eastAsia="ru-RU" w:bidi="ar-SA"/>
        </w:rPr>
        <w:t>В товарной структуре импорта Брянской области в 2020 году преобладали машины, оборудование  и транспортные средства — 476,8 млн. долларов США (46,6 процента в общем объеме импорта),  продовольственные товары и сельскохозяйственное сырье для их производства - 295,8 млн. долларов США  (28,9 процента), продукция химической промышленности, каучук — 98,7 млн. долларов США                    (9,6 процента), металлы и изделия из них — 44,6 млн. долларов США                   (4,4 процента), минеральные продукты — 29,7 млн. долларов США                (2,9 процента), древесина и целлюлозно-бумажные изделия — 28,8 млн. долларов США (2,8 процента).</w:t>
      </w:r>
    </w:p>
    <w:p>
      <w:pPr>
        <w:pStyle w:val="Normal"/>
        <w:ind w:firstLine="709"/>
        <w:jc w:val="both"/>
        <w:rPr>
          <w:shd w:fill="FFFFFF" w:val="clear"/>
        </w:rPr>
      </w:pPr>
      <w:r>
        <w:rPr>
          <w:sz w:val="28"/>
          <w:szCs w:val="28"/>
          <w:shd w:fill="FFFFFF" w:val="clear"/>
        </w:rPr>
        <w:t xml:space="preserve">В 2022-2024 годах ожидается увеличение экспорта за счет участия предприятий области в национальном проекте «Международная кооперация и экспорт» и реализации региональных инвестиционных проектов. </w:t>
      </w:r>
    </w:p>
    <w:p>
      <w:pPr>
        <w:pStyle w:val="Normal"/>
        <w:ind w:firstLine="709"/>
        <w:jc w:val="both"/>
        <w:rPr>
          <w:shd w:fill="FFFFFF" w:val="clear"/>
        </w:rPr>
      </w:pPr>
      <w:r>
        <w:rPr>
          <w:sz w:val="28"/>
          <w:szCs w:val="28"/>
          <w:shd w:fill="FFFFFF" w:val="clear"/>
        </w:rPr>
        <w:t xml:space="preserve">В 2021 году экспортные поставки оцениваются в </w:t>
      </w:r>
      <w:r>
        <w:rPr>
          <w:rFonts w:eastAsia="Times New Roman" w:cs="Times New Roman"/>
          <w:color w:val="000000"/>
          <w:kern w:val="0"/>
          <w:sz w:val="28"/>
          <w:szCs w:val="28"/>
          <w:shd w:fill="FFFFFF" w:val="clear"/>
          <w:lang w:val="ru-RU" w:eastAsia="ru-RU" w:bidi="ar-SA"/>
        </w:rPr>
        <w:t>397,6</w:t>
      </w:r>
      <w:r>
        <w:rPr>
          <w:sz w:val="28"/>
          <w:szCs w:val="28"/>
          <w:shd w:fill="FFFFFF" w:val="clear"/>
        </w:rPr>
        <w:t xml:space="preserve"> млн. долларов США (10</w:t>
      </w:r>
      <w:r>
        <w:rPr>
          <w:rFonts w:eastAsia="Times New Roman" w:cs="Times New Roman"/>
          <w:color w:val="000000"/>
          <w:kern w:val="0"/>
          <w:sz w:val="28"/>
          <w:szCs w:val="28"/>
          <w:shd w:fill="FFFFFF" w:val="clear"/>
          <w:lang w:val="ru-RU" w:eastAsia="ru-RU" w:bidi="ar-SA"/>
        </w:rPr>
        <w:t>5,0</w:t>
      </w:r>
      <w:r>
        <w:rPr>
          <w:sz w:val="28"/>
          <w:szCs w:val="28"/>
          <w:shd w:fill="FFFFFF" w:val="clear"/>
        </w:rPr>
        <w:t xml:space="preserve"> процентов к уровню 2020 года), из них в страны СНГ – </w:t>
      </w:r>
      <w:r>
        <w:rPr>
          <w:rFonts w:eastAsia="Times New Roman" w:cs="Times New Roman"/>
          <w:color w:val="000000"/>
          <w:kern w:val="0"/>
          <w:sz w:val="28"/>
          <w:szCs w:val="28"/>
          <w:shd w:fill="FFFFFF" w:val="clear"/>
          <w:lang w:val="ru-RU" w:eastAsia="ru-RU" w:bidi="ar-SA"/>
        </w:rPr>
        <w:t>232,9</w:t>
      </w:r>
      <w:r>
        <w:rPr>
          <w:sz w:val="28"/>
          <w:szCs w:val="28"/>
          <w:shd w:fill="FFFFFF" w:val="clear"/>
        </w:rPr>
        <w:t xml:space="preserve"> млн. долларов США (10</w:t>
      </w:r>
      <w:r>
        <w:rPr>
          <w:rFonts w:eastAsia="Times New Roman" w:cs="Times New Roman"/>
          <w:color w:val="000000"/>
          <w:kern w:val="0"/>
          <w:sz w:val="28"/>
          <w:szCs w:val="28"/>
          <w:shd w:fill="FFFFFF" w:val="clear"/>
          <w:lang w:val="ru-RU" w:eastAsia="ru-RU" w:bidi="ar-SA"/>
        </w:rPr>
        <w:t>5,0</w:t>
      </w:r>
      <w:r>
        <w:rPr>
          <w:sz w:val="28"/>
          <w:szCs w:val="28"/>
          <w:shd w:fill="FFFFFF" w:val="clear"/>
        </w:rPr>
        <w:t xml:space="preserve"> процентов), страны дальнего зарубежья – </w:t>
      </w:r>
      <w:r>
        <w:rPr>
          <w:rFonts w:eastAsia="Times New Roman" w:cs="Times New Roman"/>
          <w:color w:val="000000"/>
          <w:kern w:val="0"/>
          <w:sz w:val="28"/>
          <w:szCs w:val="28"/>
          <w:shd w:fill="FFFFFF" w:val="clear"/>
          <w:lang w:val="ru-RU" w:eastAsia="ru-RU" w:bidi="ar-SA"/>
        </w:rPr>
        <w:t>164,8</w:t>
      </w:r>
      <w:r>
        <w:rPr>
          <w:sz w:val="28"/>
          <w:szCs w:val="28"/>
          <w:shd w:fill="FFFFFF" w:val="clear"/>
        </w:rPr>
        <w:t xml:space="preserve"> млн. долларов США (</w:t>
      </w:r>
      <w:r>
        <w:rPr>
          <w:rFonts w:eastAsia="Times New Roman" w:cs="Times New Roman"/>
          <w:color w:val="000000"/>
          <w:kern w:val="0"/>
          <w:sz w:val="28"/>
          <w:szCs w:val="28"/>
          <w:shd w:fill="FFFFFF" w:val="clear"/>
          <w:lang w:val="ru-RU" w:eastAsia="ru-RU" w:bidi="ar-SA"/>
        </w:rPr>
        <w:t>105,0</w:t>
      </w:r>
      <w:r>
        <w:rPr>
          <w:sz w:val="28"/>
          <w:szCs w:val="28"/>
          <w:shd w:fill="FFFFFF" w:val="clear"/>
        </w:rPr>
        <w:t xml:space="preserve"> процентов). Импорт  в 2021 году составит </w:t>
      </w:r>
      <w:r>
        <w:rPr>
          <w:rFonts w:eastAsia="Times New Roman" w:cs="Times New Roman"/>
          <w:color w:val="000000"/>
          <w:kern w:val="0"/>
          <w:sz w:val="28"/>
          <w:szCs w:val="28"/>
          <w:shd w:fill="FFFFFF" w:val="clear"/>
          <w:lang w:val="ru-RU" w:eastAsia="ru-RU" w:bidi="ar-SA"/>
        </w:rPr>
        <w:t>1054,1</w:t>
      </w:r>
      <w:r>
        <w:rPr>
          <w:sz w:val="28"/>
          <w:szCs w:val="28"/>
          <w:shd w:fill="FFFFFF" w:val="clear"/>
        </w:rPr>
        <w:t xml:space="preserve"> млн. долларов США (</w:t>
      </w:r>
      <w:r>
        <w:rPr>
          <w:rFonts w:eastAsia="Times New Roman" w:cs="Times New Roman"/>
          <w:color w:val="000000"/>
          <w:kern w:val="0"/>
          <w:sz w:val="28"/>
          <w:szCs w:val="28"/>
          <w:shd w:fill="FFFFFF" w:val="clear"/>
          <w:lang w:val="ru-RU" w:eastAsia="ru-RU" w:bidi="ar-SA"/>
        </w:rPr>
        <w:t>103,0</w:t>
      </w:r>
      <w:r>
        <w:rPr>
          <w:sz w:val="28"/>
          <w:szCs w:val="28"/>
          <w:shd w:fill="FFFFFF" w:val="clear"/>
        </w:rPr>
        <w:t xml:space="preserve"> процента к 2020 году), в том числе из стран СНГ — 537,8 млн. долларов США (105,9 процента), стран дальнего зарубежья — 516,3 млн. долларов США (100,2 процента). </w:t>
      </w:r>
    </w:p>
    <w:p>
      <w:pPr>
        <w:pStyle w:val="Normal"/>
        <w:tabs>
          <w:tab w:val="clear" w:pos="708"/>
          <w:tab w:val="left" w:pos="1134" w:leader="none"/>
        </w:tabs>
        <w:ind w:firstLine="709"/>
        <w:jc w:val="both"/>
        <w:rPr>
          <w:shd w:fill="FFFFFF" w:val="clear"/>
        </w:rPr>
      </w:pPr>
      <w:r>
        <w:rPr>
          <w:sz w:val="28"/>
          <w:szCs w:val="28"/>
          <w:shd w:fill="FFFFFF" w:val="clear"/>
        </w:rPr>
        <w:t xml:space="preserve">За 2022-2024 годы прогнозируется увеличение внешнеторгового оборота </w:t>
      </w:r>
      <w:r>
        <w:rPr>
          <w:rFonts w:eastAsia="Times New Roman" w:cs="Times New Roman"/>
          <w:color w:val="000000"/>
          <w:kern w:val="0"/>
          <w:sz w:val="28"/>
          <w:szCs w:val="28"/>
          <w:shd w:fill="FFFFFF" w:val="clear"/>
          <w:lang w:val="ru-RU" w:eastAsia="ru-RU" w:bidi="ar-SA"/>
        </w:rPr>
        <w:t>на 32,9 процента к уровню 2021 года</w:t>
      </w:r>
      <w:r>
        <w:rPr>
          <w:sz w:val="28"/>
          <w:szCs w:val="28"/>
          <w:shd w:fill="FFFFFF" w:val="clear"/>
        </w:rPr>
        <w:t xml:space="preserve">, его объем в 2024 году составит </w:t>
      </w:r>
      <w:r>
        <w:rPr>
          <w:rFonts w:eastAsia="Times New Roman" w:cs="Times New Roman"/>
          <w:color w:val="000000"/>
          <w:kern w:val="0"/>
          <w:sz w:val="28"/>
          <w:szCs w:val="28"/>
          <w:shd w:fill="FFFFFF" w:val="clear"/>
          <w:lang w:val="ru-RU" w:eastAsia="ru-RU" w:bidi="ar-SA"/>
        </w:rPr>
        <w:t>1929,9</w:t>
      </w:r>
      <w:r>
        <w:rPr>
          <w:sz w:val="28"/>
          <w:szCs w:val="28"/>
          <w:shd w:fill="FFFFFF" w:val="clear"/>
        </w:rPr>
        <w:t xml:space="preserve"> млн. долларов США. При этом экспорт увеличится до </w:t>
      </w:r>
      <w:r>
        <w:rPr>
          <w:rFonts w:eastAsia="Times New Roman" w:cs="Times New Roman"/>
          <w:color w:val="000000"/>
          <w:kern w:val="0"/>
          <w:sz w:val="28"/>
          <w:szCs w:val="28"/>
          <w:shd w:fill="FFFFFF" w:val="clear"/>
          <w:lang w:val="ru-RU" w:eastAsia="ru-RU" w:bidi="ar-SA"/>
        </w:rPr>
        <w:t>665,0</w:t>
      </w:r>
      <w:r>
        <w:rPr>
          <w:sz w:val="28"/>
          <w:szCs w:val="28"/>
          <w:shd w:fill="FFFFFF" w:val="clear"/>
        </w:rPr>
        <w:t xml:space="preserve"> млн. долларов США (в </w:t>
      </w:r>
      <w:r>
        <w:rPr>
          <w:rFonts w:eastAsia="Times New Roman" w:cs="Times New Roman"/>
          <w:color w:val="000000"/>
          <w:kern w:val="0"/>
          <w:sz w:val="28"/>
          <w:szCs w:val="28"/>
          <w:shd w:fill="FFFFFF" w:val="clear"/>
          <w:lang w:val="ru-RU" w:eastAsia="ru-RU" w:bidi="ar-SA"/>
        </w:rPr>
        <w:t>1,7</w:t>
      </w:r>
      <w:r>
        <w:rPr>
          <w:sz w:val="28"/>
          <w:szCs w:val="28"/>
          <w:shd w:fill="FFFFFF" w:val="clear"/>
        </w:rPr>
        <w:t xml:space="preserve"> раза к уровню 2021 года), импорт – до </w:t>
      </w:r>
      <w:r>
        <w:rPr>
          <w:rFonts w:eastAsia="Times New Roman" w:cs="Times New Roman"/>
          <w:color w:val="000000"/>
          <w:kern w:val="0"/>
          <w:sz w:val="28"/>
          <w:szCs w:val="28"/>
          <w:shd w:fill="FFFFFF" w:val="clear"/>
          <w:lang w:val="ru-RU" w:eastAsia="ru-RU" w:bidi="ar-SA"/>
        </w:rPr>
        <w:t>1264,9</w:t>
      </w:r>
      <w:r>
        <w:rPr>
          <w:sz w:val="28"/>
          <w:szCs w:val="28"/>
          <w:shd w:fill="FFFFFF" w:val="clear"/>
        </w:rPr>
        <w:t xml:space="preserve"> млн. долларов США (на </w:t>
      </w:r>
      <w:r>
        <w:rPr>
          <w:rFonts w:eastAsia="Times New Roman" w:cs="Times New Roman"/>
          <w:color w:val="000000"/>
          <w:kern w:val="0"/>
          <w:sz w:val="28"/>
          <w:szCs w:val="28"/>
          <w:shd w:fill="FFFFFF" w:val="clear"/>
          <w:lang w:val="ru-RU" w:eastAsia="ru-RU" w:bidi="ar-SA"/>
        </w:rPr>
        <w:t>20,0</w:t>
      </w:r>
      <w:r>
        <w:rPr>
          <w:sz w:val="28"/>
          <w:szCs w:val="28"/>
          <w:shd w:fill="FFFFFF" w:val="clear"/>
        </w:rPr>
        <w:t xml:space="preserve"> процентов).</w:t>
      </w:r>
    </w:p>
    <w:p>
      <w:pPr>
        <w:pStyle w:val="Normal"/>
        <w:ind w:left="0" w:right="0" w:firstLine="709"/>
        <w:jc w:val="both"/>
        <w:rPr>
          <w:i/>
          <w:i/>
          <w:sz w:val="28"/>
          <w:szCs w:val="28"/>
          <w:shd w:fill="FFFFFF" w:val="clear"/>
        </w:rPr>
      </w:pPr>
      <w:r>
        <w:rPr>
          <w:i/>
          <w:sz w:val="28"/>
          <w:szCs w:val="28"/>
          <w:shd w:fill="FFFFFF" w:val="clear"/>
        </w:rPr>
      </w:r>
    </w:p>
    <w:p>
      <w:pPr>
        <w:pStyle w:val="Normal"/>
        <w:jc w:val="center"/>
        <w:rPr>
          <w:shd w:fill="FFFFFF" w:val="clear"/>
        </w:rPr>
      </w:pPr>
      <w:r>
        <w:rPr>
          <w:b/>
          <w:sz w:val="28"/>
          <w:szCs w:val="28"/>
          <w:shd w:fill="FFFFFF" w:val="clear"/>
        </w:rPr>
        <w:t>8. Малое и среднее предпринимательство</w:t>
      </w:r>
    </w:p>
    <w:p>
      <w:pPr>
        <w:pStyle w:val="Normal"/>
        <w:jc w:val="center"/>
        <w:rPr>
          <w:b/>
          <w:b/>
          <w:sz w:val="28"/>
          <w:szCs w:val="28"/>
          <w:shd w:fill="FFFFFF" w:val="clear"/>
        </w:rPr>
      </w:pPr>
      <w:r>
        <w:rPr>
          <w:b/>
          <w:sz w:val="28"/>
          <w:szCs w:val="28"/>
          <w:shd w:fill="FFFFFF" w:val="clear"/>
        </w:rPr>
      </w:r>
    </w:p>
    <w:p>
      <w:pPr>
        <w:pStyle w:val="Normal"/>
        <w:ind w:firstLine="709"/>
        <w:jc w:val="both"/>
        <w:rPr>
          <w:shd w:fill="FFFFFF" w:val="clear"/>
        </w:rPr>
      </w:pPr>
      <w:r>
        <w:rPr>
          <w:sz w:val="28"/>
          <w:szCs w:val="28"/>
          <w:shd w:fill="FFFFFF" w:val="clear"/>
        </w:rPr>
        <w:t xml:space="preserve">В 2020 году на территории области осуществляли хозяйственную деятельность </w:t>
      </w:r>
      <w:r>
        <w:rPr>
          <w:rFonts w:eastAsia="Times New Roman" w:cs="Times New Roman"/>
          <w:color w:val="000000"/>
          <w:kern w:val="0"/>
          <w:sz w:val="28"/>
          <w:szCs w:val="28"/>
          <w:shd w:fill="FFFFFF" w:val="clear"/>
          <w:lang w:val="ru-RU" w:eastAsia="ru-RU" w:bidi="ar-SA"/>
        </w:rPr>
        <w:t>10652</w:t>
      </w:r>
      <w:r>
        <w:rPr>
          <w:sz w:val="28"/>
          <w:szCs w:val="28"/>
          <w:shd w:fill="FFFFFF" w:val="clear"/>
        </w:rPr>
        <w:t xml:space="preserve"> малых и средних предприятий, включая микропредприятия (в 2019 году – </w:t>
      </w:r>
      <w:r>
        <w:rPr>
          <w:rFonts w:eastAsia="Times New Roman" w:cs="Times New Roman"/>
          <w:color w:val="000000"/>
          <w:kern w:val="0"/>
          <w:sz w:val="28"/>
          <w:szCs w:val="28"/>
          <w:shd w:fill="FFFFFF" w:val="clear"/>
          <w:lang w:val="ru-RU" w:eastAsia="ru-RU" w:bidi="ar-SA"/>
        </w:rPr>
        <w:t>11700</w:t>
      </w:r>
      <w:r>
        <w:rPr>
          <w:sz w:val="28"/>
          <w:szCs w:val="28"/>
          <w:shd w:fill="FFFFFF" w:val="clear"/>
        </w:rPr>
        <w:t xml:space="preserve"> предприятий), среднесписочная численность работников (без внешних совместителей) занятых на них составила </w:t>
      </w:r>
      <w:r>
        <w:rPr>
          <w:rFonts w:eastAsia="Times New Roman" w:cs="Times New Roman"/>
          <w:color w:val="000000"/>
          <w:kern w:val="0"/>
          <w:sz w:val="28"/>
          <w:szCs w:val="28"/>
          <w:shd w:fill="FFFFFF" w:val="clear"/>
          <w:lang w:val="ru-RU" w:eastAsia="ru-RU" w:bidi="ar-SA"/>
        </w:rPr>
        <w:t>69,4</w:t>
      </w:r>
      <w:r>
        <w:rPr>
          <w:sz w:val="28"/>
          <w:szCs w:val="28"/>
          <w:shd w:fill="FFFFFF" w:val="clear"/>
        </w:rPr>
        <w:t xml:space="preserve"> тыс. человек (в 2019 году – 80,0 тыс. человек). Оборот малых и средних предприятий, включая микропредприятия, по всем видам деятельности в 2020 году составил </w:t>
      </w:r>
      <w:r>
        <w:rPr>
          <w:rFonts w:eastAsia="Times New Roman" w:cs="Times New Roman"/>
          <w:color w:val="000000"/>
          <w:kern w:val="0"/>
          <w:sz w:val="28"/>
          <w:szCs w:val="28"/>
          <w:shd w:fill="FFFFFF" w:val="clear"/>
          <w:lang w:val="ru-RU" w:eastAsia="ru-RU" w:bidi="ar-SA"/>
        </w:rPr>
        <w:t>279,8</w:t>
      </w:r>
      <w:r>
        <w:rPr>
          <w:sz w:val="28"/>
          <w:szCs w:val="28"/>
          <w:shd w:fill="FFFFFF" w:val="clear"/>
        </w:rPr>
        <w:t xml:space="preserve"> млрд. рублей, что на </w:t>
      </w:r>
      <w:r>
        <w:rPr>
          <w:rFonts w:eastAsia="Times New Roman" w:cs="Times New Roman"/>
          <w:color w:val="000000"/>
          <w:kern w:val="0"/>
          <w:sz w:val="28"/>
          <w:szCs w:val="28"/>
          <w:shd w:fill="FFFFFF" w:val="clear"/>
          <w:lang w:val="ru-RU" w:eastAsia="ru-RU" w:bidi="ar-SA"/>
        </w:rPr>
        <w:t>9,4</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меньше</w:t>
      </w:r>
      <w:r>
        <w:rPr>
          <w:sz w:val="28"/>
          <w:szCs w:val="28"/>
          <w:shd w:fill="FFFFFF" w:val="clear"/>
        </w:rPr>
        <w:t xml:space="preserve">, чем в 2019 году. </w:t>
      </w:r>
    </w:p>
    <w:p>
      <w:pPr>
        <w:pStyle w:val="Normal"/>
        <w:ind w:firstLine="709"/>
        <w:jc w:val="both"/>
        <w:rPr>
          <w:shd w:fill="FFFFFF" w:val="clear"/>
        </w:rPr>
      </w:pPr>
      <w:r>
        <w:rPr>
          <w:rFonts w:eastAsia="Times New Roman" w:cs="Times New Roman"/>
          <w:color w:val="000000"/>
          <w:kern w:val="0"/>
          <w:sz w:val="28"/>
          <w:szCs w:val="28"/>
          <w:shd w:fill="FFFFFF" w:val="clear"/>
          <w:lang w:val="ru-RU" w:eastAsia="ru-RU" w:bidi="ar-SA"/>
        </w:rPr>
        <w:t>Снижение</w:t>
      </w:r>
      <w:r>
        <w:rPr>
          <w:sz w:val="28"/>
          <w:szCs w:val="28"/>
          <w:shd w:fill="FFFFFF" w:val="clear"/>
        </w:rPr>
        <w:t xml:space="preserve"> численности субъектов малого бизнеса и оборота малых и средних предприятий в 2020 году связана с введением карантинных ограничений в целях предупреждения распространения новой коронавирусной инфекции. Кроме того, в связи с введением на территории Брянской области </w:t>
      </w:r>
      <w:r>
        <w:rPr>
          <w:rFonts w:eastAsia="Calibri"/>
          <w:sz w:val="28"/>
          <w:szCs w:val="28"/>
          <w:shd w:fill="FFFFFF" w:val="clear"/>
        </w:rPr>
        <w:t xml:space="preserve">с 1 июля 2020 года специального налогового режима «Налог на профессиональный доход» часть микропредприятий </w:t>
      </w:r>
      <w:r>
        <w:rPr>
          <w:sz w:val="28"/>
          <w:szCs w:val="28"/>
          <w:shd w:fill="FFFFFF" w:val="clear"/>
        </w:rPr>
        <w:t>перешла в категорию налогоплательщиков налога на профессиональный доход.</w:t>
      </w:r>
    </w:p>
    <w:p>
      <w:pPr>
        <w:pStyle w:val="Normal"/>
        <w:ind w:firstLine="709"/>
        <w:jc w:val="both"/>
        <w:rPr>
          <w:shd w:fill="FFFFFF" w:val="clear"/>
        </w:rPr>
      </w:pPr>
      <w:r>
        <w:rPr>
          <w:sz w:val="28"/>
          <w:szCs w:val="28"/>
          <w:shd w:fill="FFFFFF" w:val="clear"/>
        </w:rPr>
        <w:t xml:space="preserve">Проводимая работа в рамках подпрограммы «Государственная поддержка малого и среднего предпринимательства в Брянской области»  государственной программы «Экономическое развитие, инвестиционная политика и инновационная экономика Брянской области» способствует </w:t>
      </w:r>
      <w:r>
        <w:rPr>
          <w:rFonts w:eastAsia="Times New Roman" w:cs="Times New Roman"/>
          <w:color w:val="000000"/>
          <w:kern w:val="0"/>
          <w:sz w:val="28"/>
          <w:szCs w:val="28"/>
          <w:shd w:fill="FFFFFF" w:val="clear"/>
          <w:lang w:val="ru-RU" w:eastAsia="ru-RU" w:bidi="ar-SA"/>
        </w:rPr>
        <w:t xml:space="preserve"> увеличению</w:t>
      </w:r>
      <w:r>
        <w:rPr>
          <w:sz w:val="28"/>
          <w:szCs w:val="28"/>
          <w:shd w:fill="FFFFFF" w:val="clear"/>
        </w:rPr>
        <w:t xml:space="preserve"> объёмных показателей в </w:t>
      </w:r>
      <w:r>
        <w:rPr>
          <w:rFonts w:eastAsia="Times New Roman" w:cs="Times New Roman"/>
          <w:color w:val="000000"/>
          <w:kern w:val="0"/>
          <w:sz w:val="28"/>
          <w:szCs w:val="28"/>
          <w:shd w:fill="FFFFFF" w:val="clear"/>
          <w:lang w:val="ru-RU" w:eastAsia="ru-RU" w:bidi="ar-SA"/>
        </w:rPr>
        <w:t>данном</w:t>
      </w:r>
      <w:r>
        <w:rPr>
          <w:sz w:val="28"/>
          <w:szCs w:val="28"/>
          <w:shd w:fill="FFFFFF" w:val="clear"/>
        </w:rPr>
        <w:t xml:space="preserve"> секторе экономики. </w:t>
      </w:r>
    </w:p>
    <w:p>
      <w:pPr>
        <w:pStyle w:val="Normal"/>
        <w:ind w:firstLine="709"/>
        <w:jc w:val="both"/>
        <w:rPr/>
      </w:pPr>
      <w:r>
        <w:rPr>
          <w:sz w:val="28"/>
          <w:szCs w:val="28"/>
          <w:shd w:fill="FFFFFF" w:val="clear"/>
        </w:rPr>
        <w:t>В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году в </w:t>
      </w:r>
      <w:r>
        <w:rPr>
          <w:rFonts w:eastAsia="Times New Roman" w:cs="Times New Roman"/>
          <w:color w:val="000000"/>
          <w:kern w:val="0"/>
          <w:sz w:val="28"/>
          <w:szCs w:val="28"/>
          <w:shd w:fill="FFFFFF" w:val="clear"/>
          <w:lang w:val="ru-RU" w:eastAsia="ru-RU" w:bidi="ar-SA"/>
        </w:rPr>
        <w:t>рамках</w:t>
      </w:r>
      <w:r>
        <w:rPr>
          <w:sz w:val="28"/>
          <w:szCs w:val="28"/>
          <w:shd w:fill="FFFFFF" w:val="clear"/>
        </w:rPr>
        <w:t xml:space="preserve"> подпрограммы </w:t>
      </w:r>
      <w:r>
        <w:rPr>
          <w:rFonts w:eastAsia="Times New Roman" w:cs="Times New Roman"/>
          <w:color w:val="000000"/>
          <w:kern w:val="0"/>
          <w:sz w:val="28"/>
          <w:szCs w:val="28"/>
          <w:shd w:fill="FFFFFF" w:val="clear"/>
          <w:lang w:val="ru-RU" w:eastAsia="ru-RU" w:bidi="ar-SA"/>
        </w:rPr>
        <w:t xml:space="preserve">реализовывались мероприятия 4 </w:t>
      </w:r>
      <w:r>
        <w:rPr>
          <w:sz w:val="28"/>
          <w:szCs w:val="28"/>
          <w:shd w:fill="FFFFFF" w:val="clear"/>
        </w:rPr>
        <w:t>региональных проектов: «</w:t>
      </w:r>
      <w:hyperlink r:id="rId3">
        <w:r>
          <w:rPr>
            <w:sz w:val="28"/>
            <w:szCs w:val="28"/>
            <w:shd w:fill="FFFFFF" w:val="clear"/>
          </w:rPr>
          <w:t>Акселерация субъектов малого и среднего предпринимательства</w:t>
        </w:r>
      </w:hyperlink>
      <w:r>
        <w:rPr>
          <w:sz w:val="28"/>
          <w:szCs w:val="28"/>
          <w:shd w:fill="FFFFFF" w:val="clear"/>
        </w:rPr>
        <w:t>», «</w:t>
      </w:r>
      <w:hyperlink r:id="rId4" w:tgtFrame="_blank">
        <w:r>
          <w:rPr>
            <w:sz w:val="28"/>
            <w:szCs w:val="28"/>
            <w:shd w:fill="FFFFFF" w:val="clear"/>
          </w:rPr>
          <w:t>Популяризация предпринимательства</w:t>
        </w:r>
      </w:hyperlink>
      <w:r>
        <w:rPr>
          <w:sz w:val="28"/>
          <w:szCs w:val="28"/>
          <w:shd w:fill="FFFFFF" w:val="clear"/>
        </w:rPr>
        <w:t>», «</w:t>
      </w:r>
      <w:hyperlink r:id="rId5" w:tgtFrame="_blank">
        <w:r>
          <w:rPr>
            <w:sz w:val="28"/>
            <w:szCs w:val="28"/>
            <w:shd w:fill="FFFFFF" w:val="clear"/>
          </w:rPr>
          <w:t>Расширение доступа субъектов малого и среднего предпринимательства к финансовым ресурсам, в том числе к льготному финансированию</w:t>
        </w:r>
      </w:hyperlink>
      <w:r>
        <w:rPr>
          <w:sz w:val="28"/>
          <w:szCs w:val="28"/>
          <w:shd w:fill="FFFFFF" w:val="clear"/>
        </w:rPr>
        <w:t>», «Улучшение условий ведения предпринимательской деятельности». Всего на реализацию мероприятий подпрограммы «Государственная поддержка малого и среднего предпринимательства в Брянской области» было направлено более 344 млн. рублей.</w:t>
      </w:r>
    </w:p>
    <w:p>
      <w:pPr>
        <w:pStyle w:val="Normal"/>
        <w:ind w:firstLine="708"/>
        <w:jc w:val="both"/>
        <w:rPr>
          <w:shd w:fill="FFFFFF" w:val="clear"/>
        </w:rPr>
      </w:pPr>
      <w:r>
        <w:rPr>
          <w:sz w:val="28"/>
          <w:szCs w:val="28"/>
          <w:shd w:fill="FFFFFF" w:val="clear"/>
        </w:rPr>
        <w:t>Правительство Брянской области реализует инфраструктурные меры поддержки, позволяющие создать больший эффект для развития предпринимательской деятельности.</w:t>
      </w:r>
    </w:p>
    <w:p>
      <w:pPr>
        <w:pStyle w:val="Normal"/>
        <w:ind w:firstLine="709"/>
        <w:jc w:val="both"/>
        <w:rPr>
          <w:shd w:fill="FFFFFF" w:val="clear"/>
        </w:rPr>
      </w:pPr>
      <w:r>
        <w:rPr>
          <w:sz w:val="28"/>
          <w:szCs w:val="28"/>
          <w:shd w:fill="FFFFFF" w:val="clear"/>
        </w:rPr>
        <w:t xml:space="preserve">В настоящее время функционируют: Центр инноваций социальной сферы, Центр поддержки предпринимательства, Центр координации поддержки экспортно  ориентированных субъектов малого и среднего предпринимательства, Региональный центр инжиниринга, Центр развития предпринимательства, Центр кластерного развития, Брянский областной промышленный парк, Брянский Гарантийный Фонд, микрофинансовые организации Брянской области. </w:t>
      </w:r>
    </w:p>
    <w:p>
      <w:pPr>
        <w:pStyle w:val="Normal"/>
        <w:ind w:firstLine="709"/>
        <w:jc w:val="both"/>
        <w:rPr>
          <w:shd w:fill="FFFFFF" w:val="clear"/>
        </w:rPr>
      </w:pPr>
      <w:r>
        <w:rPr>
          <w:sz w:val="28"/>
          <w:szCs w:val="28"/>
          <w:shd w:fill="FFFFFF" w:val="clear"/>
        </w:rPr>
        <w:t xml:space="preserve">В 2021 году в рамках обновленного национального проекта «Малый бизнес и поддержка предпринимательской инициативы» реализуются мероприятия, направленные на создание благоприятных условий для осуществления деятельности самозанятыми гражданами, создание условий для легкого старта и комфортного ведения бизнеса, </w:t>
      </w:r>
      <w:r>
        <w:rPr>
          <w:rFonts w:eastAsia="Times New Roman" w:cs="Times New Roman"/>
          <w:color w:val="000000"/>
          <w:kern w:val="0"/>
          <w:sz w:val="28"/>
          <w:szCs w:val="28"/>
          <w:shd w:fill="FFFFFF" w:val="clear"/>
          <w:lang w:val="ru-RU" w:eastAsia="ru-RU" w:bidi="ar-SA"/>
        </w:rPr>
        <w:t>создание</w:t>
      </w:r>
      <w:r>
        <w:rPr>
          <w:sz w:val="28"/>
          <w:szCs w:val="28"/>
          <w:shd w:fill="FFFFFF" w:val="clear"/>
        </w:rPr>
        <w:t xml:space="preserve"> комплексной системы акселерации субъектов малого и среднего предпринимательства, усовершенствование комплекса мер поддержки сельскохозяйственных кооперативов и фермеров – членов сельскохозяйственных кооперативов. </w:t>
      </w:r>
    </w:p>
    <w:p>
      <w:pPr>
        <w:pStyle w:val="NormalWeb"/>
        <w:spacing w:beforeAutospacing="0" w:before="0" w:afterAutospacing="0" w:after="0"/>
        <w:ind w:firstLine="709"/>
        <w:jc w:val="both"/>
        <w:rPr>
          <w:shd w:fill="FFFFFF" w:val="clear"/>
        </w:rPr>
      </w:pPr>
      <w:r>
        <w:rPr>
          <w:sz w:val="28"/>
          <w:szCs w:val="28"/>
          <w:shd w:fill="FFFFFF" w:val="clear"/>
        </w:rPr>
        <w:t xml:space="preserve">В результате реализации всего комплекса программных мероприятий,  а также мер поддержки малого и среднего бизнеса, принятых на федеральном  и региональном уровнях, направленных на </w:t>
      </w:r>
      <w:r>
        <w:rPr>
          <w:rFonts w:eastAsia="Times New Roman" w:cs="Times New Roman"/>
          <w:color w:val="000000"/>
          <w:kern w:val="0"/>
          <w:sz w:val="28"/>
          <w:szCs w:val="28"/>
          <w:shd w:fill="FFFFFF" w:val="clear"/>
          <w:lang w:val="ru-RU" w:eastAsia="ru-RU" w:bidi="ar-SA"/>
        </w:rPr>
        <w:t>восстановление</w:t>
      </w:r>
      <w:r>
        <w:rPr>
          <w:sz w:val="28"/>
          <w:szCs w:val="28"/>
          <w:shd w:fill="FFFFFF" w:val="clear"/>
        </w:rPr>
        <w:t xml:space="preserve"> численности занятых в сфере малого бизнеса, в 2021 году количество малых и средних предприятий области, включая микропредприятия, составит </w:t>
      </w:r>
      <w:r>
        <w:rPr>
          <w:rFonts w:eastAsia="Times New Roman" w:cs="Times New Roman"/>
          <w:color w:val="000000"/>
          <w:kern w:val="0"/>
          <w:sz w:val="28"/>
          <w:szCs w:val="28"/>
          <w:shd w:fill="FFFFFF" w:val="clear"/>
          <w:lang w:val="ru-RU" w:eastAsia="ru-RU" w:bidi="ar-SA"/>
        </w:rPr>
        <w:t>10800</w:t>
      </w:r>
      <w:r>
        <w:rPr>
          <w:sz w:val="28"/>
          <w:szCs w:val="28"/>
          <w:shd w:fill="FFFFFF" w:val="clear"/>
        </w:rPr>
        <w:t xml:space="preserve"> предприятий, среднесписочная численность работников </w:t>
      </w:r>
      <w:r>
        <w:rPr>
          <w:sz w:val="28"/>
          <w:szCs w:val="28"/>
          <w:shd w:fill="FFFFFF" w:val="clear"/>
        </w:rPr>
        <w:t xml:space="preserve">на них </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76,0</w:t>
      </w:r>
      <w:r>
        <w:rPr>
          <w:sz w:val="28"/>
          <w:szCs w:val="28"/>
          <w:shd w:fill="FFFFFF" w:val="clear"/>
        </w:rPr>
        <w:t xml:space="preserve"> тысяч человек. Оборот малых и средних предприятий, включая микропредприятия, оценивается в </w:t>
      </w:r>
      <w:r>
        <w:rPr>
          <w:rFonts w:eastAsia="Times New Roman" w:cs="Times New Roman"/>
          <w:color w:val="000000"/>
          <w:kern w:val="0"/>
          <w:sz w:val="28"/>
          <w:szCs w:val="28"/>
          <w:shd w:fill="FFFFFF" w:val="clear"/>
          <w:lang w:val="ru-RU" w:eastAsia="ru-RU" w:bidi="ar-SA"/>
        </w:rPr>
        <w:t>312,1</w:t>
      </w:r>
      <w:r>
        <w:rPr>
          <w:sz w:val="28"/>
          <w:szCs w:val="28"/>
          <w:shd w:fill="FFFFFF" w:val="clear"/>
        </w:rPr>
        <w:t xml:space="preserve"> млрд. рублей.</w:t>
      </w:r>
    </w:p>
    <w:p>
      <w:pPr>
        <w:pStyle w:val="Normal"/>
        <w:ind w:firstLine="709"/>
        <w:jc w:val="both"/>
        <w:rPr>
          <w:shd w:fill="FFFFFF" w:val="clear"/>
        </w:rPr>
      </w:pPr>
      <w:r>
        <w:rPr>
          <w:sz w:val="28"/>
          <w:szCs w:val="28"/>
          <w:shd w:fill="FFFFFF" w:val="clear"/>
        </w:rPr>
        <w:t xml:space="preserve">В прогнозируемом периоде количество малых и средних предприятий, включая микропредприятия, увеличится на </w:t>
      </w:r>
      <w:r>
        <w:rPr>
          <w:rFonts w:eastAsia="Times New Roman" w:cs="Times New Roman"/>
          <w:color w:val="000000"/>
          <w:kern w:val="0"/>
          <w:sz w:val="28"/>
          <w:szCs w:val="28"/>
          <w:shd w:fill="FFFFFF" w:val="clear"/>
          <w:lang w:val="ru-RU" w:eastAsia="ru-RU" w:bidi="ar-SA"/>
        </w:rPr>
        <w:t>9,2</w:t>
      </w:r>
      <w:r>
        <w:rPr>
          <w:sz w:val="28"/>
          <w:szCs w:val="28"/>
          <w:shd w:fill="FFFFFF" w:val="clear"/>
        </w:rPr>
        <w:t xml:space="preserve"> процента к уровню 2021 года и составит в 2024 году </w:t>
      </w:r>
      <w:r>
        <w:rPr>
          <w:rFonts w:eastAsia="Times New Roman" w:cs="Times New Roman"/>
          <w:color w:val="000000"/>
          <w:kern w:val="0"/>
          <w:sz w:val="28"/>
          <w:szCs w:val="28"/>
          <w:shd w:fill="FFFFFF" w:val="clear"/>
          <w:lang w:val="ru-RU" w:eastAsia="ru-RU" w:bidi="ar-SA"/>
        </w:rPr>
        <w:t>11800</w:t>
      </w:r>
      <w:r>
        <w:rPr>
          <w:sz w:val="28"/>
          <w:szCs w:val="28"/>
          <w:shd w:fill="FFFFFF" w:val="clear"/>
        </w:rPr>
        <w:t xml:space="preserve"> единиц, среднесписочная численность работников на них (без внешних совместителей) увеличится на </w:t>
      </w:r>
      <w:r>
        <w:rPr>
          <w:rFonts w:eastAsia="Times New Roman" w:cs="Times New Roman"/>
          <w:color w:val="000000"/>
          <w:kern w:val="0"/>
          <w:sz w:val="28"/>
          <w:szCs w:val="28"/>
          <w:shd w:fill="FFFFFF" w:val="clear"/>
          <w:lang w:val="ru-RU" w:eastAsia="ru-RU" w:bidi="ar-SA"/>
        </w:rPr>
        <w:t>7,0</w:t>
      </w:r>
      <w:r>
        <w:rPr>
          <w:sz w:val="28"/>
          <w:szCs w:val="28"/>
          <w:shd w:fill="FFFFFF" w:val="clear"/>
        </w:rPr>
        <w:t xml:space="preserve"> процентов и составит </w:t>
      </w:r>
      <w:r>
        <w:rPr>
          <w:rFonts w:eastAsia="Times New Roman" w:cs="Times New Roman"/>
          <w:color w:val="000000"/>
          <w:kern w:val="0"/>
          <w:sz w:val="28"/>
          <w:szCs w:val="28"/>
          <w:shd w:fill="FFFFFF" w:val="clear"/>
          <w:lang w:val="ru-RU" w:eastAsia="ru-RU" w:bidi="ar-SA"/>
        </w:rPr>
        <w:t>81,3</w:t>
      </w:r>
      <w:r>
        <w:rPr>
          <w:sz w:val="28"/>
          <w:szCs w:val="28"/>
          <w:shd w:fill="FFFFFF" w:val="clear"/>
        </w:rPr>
        <w:t xml:space="preserve"> тыс. человек. Оборот малых и средних предприятий, включая микропредприятия, за этот период увеличится на </w:t>
      </w:r>
      <w:r>
        <w:rPr>
          <w:rFonts w:eastAsia="Times New Roman" w:cs="Times New Roman"/>
          <w:color w:val="000000"/>
          <w:kern w:val="0"/>
          <w:sz w:val="28"/>
          <w:szCs w:val="28"/>
          <w:shd w:fill="FFFFFF" w:val="clear"/>
          <w:lang w:val="ru-RU" w:eastAsia="ru-RU" w:bidi="ar-SA"/>
        </w:rPr>
        <w:t>21,8</w:t>
      </w:r>
      <w:r>
        <w:rPr>
          <w:sz w:val="28"/>
          <w:szCs w:val="28"/>
          <w:shd w:fill="FFFFFF" w:val="clear"/>
        </w:rPr>
        <w:t xml:space="preserve"> процента и достигнет </w:t>
      </w:r>
      <w:r>
        <w:rPr>
          <w:rFonts w:eastAsia="Times New Roman" w:cs="Times New Roman"/>
          <w:color w:val="000000"/>
          <w:kern w:val="0"/>
          <w:sz w:val="28"/>
          <w:szCs w:val="28"/>
          <w:shd w:fill="FFFFFF" w:val="clear"/>
          <w:lang w:val="ru-RU" w:eastAsia="ru-RU" w:bidi="ar-SA"/>
        </w:rPr>
        <w:t>380,2</w:t>
      </w:r>
      <w:r>
        <w:rPr>
          <w:sz w:val="28"/>
          <w:szCs w:val="28"/>
          <w:shd w:fill="FFFFFF" w:val="clear"/>
        </w:rPr>
        <w:t xml:space="preserve"> млрд. рублей.</w:t>
      </w:r>
    </w:p>
    <w:p>
      <w:pPr>
        <w:pStyle w:val="Normal"/>
        <w:ind w:left="0" w:right="0" w:firstLine="709"/>
        <w:jc w:val="both"/>
        <w:rPr>
          <w:sz w:val="28"/>
          <w:szCs w:val="28"/>
          <w:shd w:fill="FFFFFF" w:val="clear"/>
        </w:rPr>
      </w:pPr>
      <w:r>
        <w:rPr>
          <w:sz w:val="28"/>
          <w:szCs w:val="28"/>
          <w:shd w:fill="FFFFFF" w:val="clear"/>
        </w:rPr>
      </w:r>
    </w:p>
    <w:p>
      <w:pPr>
        <w:pStyle w:val="BodyText2"/>
        <w:jc w:val="center"/>
        <w:rPr>
          <w:shd w:fill="FFFFFF" w:val="clear"/>
        </w:rPr>
      </w:pPr>
      <w:r>
        <w:rPr>
          <w:bCs w:val="false"/>
          <w:sz w:val="28"/>
          <w:szCs w:val="28"/>
          <w:shd w:fill="FFFFFF" w:val="clear"/>
        </w:rPr>
        <w:t>9.</w:t>
      </w:r>
      <w:r>
        <w:rPr>
          <w:sz w:val="28"/>
          <w:szCs w:val="28"/>
          <w:shd w:fill="FFFFFF" w:val="clear"/>
        </w:rPr>
        <w:t xml:space="preserve"> Инвестиции </w:t>
      </w:r>
    </w:p>
    <w:p>
      <w:pPr>
        <w:pStyle w:val="Normal"/>
        <w:ind w:left="0" w:right="0" w:firstLine="709"/>
        <w:jc w:val="both"/>
        <w:rPr>
          <w:sz w:val="28"/>
          <w:szCs w:val="20"/>
          <w:shd w:fill="FFFFFF" w:val="clear"/>
        </w:rPr>
      </w:pPr>
      <w:r>
        <w:rPr>
          <w:sz w:val="28"/>
          <w:szCs w:val="20"/>
          <w:shd w:fill="FFFFFF" w:val="clear"/>
        </w:rPr>
      </w:r>
    </w:p>
    <w:p>
      <w:pPr>
        <w:pStyle w:val="Normal"/>
        <w:ind w:firstLine="709"/>
        <w:jc w:val="both"/>
        <w:rPr>
          <w:shd w:fill="FFFFFF" w:val="clear"/>
        </w:rPr>
      </w:pPr>
      <w:r>
        <w:rPr>
          <w:sz w:val="28"/>
          <w:szCs w:val="28"/>
          <w:shd w:fill="FFFFFF" w:val="clear"/>
        </w:rPr>
        <w:t>Объем инвестиций в основной капитал в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году составил </w:t>
      </w:r>
      <w:r>
        <w:rPr>
          <w:rFonts w:eastAsia="Times New Roman" w:cs="Times New Roman"/>
          <w:color w:val="000000"/>
          <w:kern w:val="0"/>
          <w:sz w:val="28"/>
          <w:szCs w:val="28"/>
          <w:shd w:fill="FFFFFF" w:val="clear"/>
          <w:lang w:val="ru-RU" w:eastAsia="ru-RU" w:bidi="ar-SA"/>
        </w:rPr>
        <w:t>73,9</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108,2</w:t>
      </w:r>
      <w:r>
        <w:rPr>
          <w:sz w:val="28"/>
          <w:szCs w:val="28"/>
          <w:shd w:fill="FFFFFF" w:val="clear"/>
        </w:rPr>
        <w:t xml:space="preserve"> процента к уровню 2019 года (в сопоставимых ценах). </w:t>
      </w:r>
    </w:p>
    <w:p>
      <w:pPr>
        <w:pStyle w:val="Normal"/>
        <w:ind w:firstLine="709"/>
        <w:jc w:val="both"/>
        <w:rPr>
          <w:shd w:fill="FFFFFF" w:val="clear"/>
        </w:rPr>
      </w:pPr>
      <w:r>
        <w:rPr>
          <w:sz w:val="28"/>
          <w:szCs w:val="28"/>
          <w:shd w:fill="FFFFFF" w:val="clear"/>
        </w:rPr>
        <w:t xml:space="preserve">В структуре инвестиций </w:t>
      </w:r>
      <w:r>
        <w:rPr>
          <w:sz w:val="28"/>
          <w:szCs w:val="28"/>
          <w:shd w:fill="FFFFFF" w:val="clear"/>
        </w:rPr>
        <w:t xml:space="preserve">(по крупным и средним предприятиям) </w:t>
      </w:r>
      <w:r>
        <w:rPr>
          <w:sz w:val="28"/>
          <w:szCs w:val="28"/>
          <w:shd w:fill="FFFFFF" w:val="clear"/>
        </w:rPr>
        <w:t xml:space="preserve">по источникам финансирования основную долю занимали привлеченные средства - </w:t>
      </w:r>
      <w:r>
        <w:rPr>
          <w:rFonts w:eastAsia="Times New Roman" w:cs="Times New Roman"/>
          <w:color w:val="000000"/>
          <w:kern w:val="0"/>
          <w:sz w:val="28"/>
          <w:szCs w:val="28"/>
          <w:shd w:fill="FFFFFF" w:val="clear"/>
          <w:lang w:val="ru-RU" w:eastAsia="ru-RU" w:bidi="ar-SA"/>
        </w:rPr>
        <w:t>52,6</w:t>
      </w:r>
      <w:r>
        <w:rPr>
          <w:sz w:val="28"/>
          <w:szCs w:val="28"/>
          <w:shd w:fill="FFFFFF" w:val="clear"/>
        </w:rPr>
        <w:t xml:space="preserve"> процента, </w:t>
      </w:r>
      <w:r>
        <w:rPr>
          <w:sz w:val="28"/>
          <w:szCs w:val="28"/>
          <w:shd w:fill="FFFFFF" w:val="clear"/>
        </w:rPr>
        <w:t xml:space="preserve">собственные средства — 47,4 процента. </w:t>
      </w:r>
      <w:r>
        <w:rPr>
          <w:sz w:val="28"/>
          <w:szCs w:val="28"/>
          <w:shd w:fill="FFFFFF" w:val="clear"/>
        </w:rPr>
        <w:t xml:space="preserve">В объеме привлеченных средств наибольший удельный вес приходился на </w:t>
      </w:r>
      <w:r>
        <w:rPr>
          <w:rFonts w:eastAsia="Times New Roman" w:cs="Times New Roman"/>
          <w:color w:val="000000"/>
          <w:kern w:val="0"/>
          <w:sz w:val="28"/>
          <w:szCs w:val="28"/>
          <w:shd w:fill="FFFFFF" w:val="clear"/>
          <w:lang w:val="ru-RU" w:eastAsia="ru-RU" w:bidi="ar-SA"/>
        </w:rPr>
        <w:t>кредиты банков</w:t>
      </w:r>
      <w:r>
        <w:rPr>
          <w:sz w:val="28"/>
          <w:szCs w:val="28"/>
          <w:shd w:fill="FFFFFF" w:val="clear"/>
        </w:rPr>
        <w:t xml:space="preserve"> (</w:t>
      </w:r>
      <w:r>
        <w:rPr>
          <w:rFonts w:eastAsia="Times New Roman" w:cs="Times New Roman"/>
          <w:color w:val="000000"/>
          <w:kern w:val="0"/>
          <w:sz w:val="28"/>
          <w:szCs w:val="28"/>
          <w:shd w:fill="FFFFFF" w:val="clear"/>
          <w:lang w:val="ru-RU" w:eastAsia="ru-RU" w:bidi="ar-SA"/>
        </w:rPr>
        <w:t>45,3</w:t>
      </w:r>
      <w:r>
        <w:rPr>
          <w:sz w:val="28"/>
          <w:szCs w:val="28"/>
          <w:shd w:fill="FFFFFF" w:val="clear"/>
        </w:rPr>
        <w:t xml:space="preserve"> процента). </w:t>
      </w:r>
    </w:p>
    <w:p>
      <w:pPr>
        <w:pStyle w:val="Normal"/>
        <w:ind w:left="0" w:right="0" w:firstLine="709"/>
        <w:jc w:val="both"/>
        <w:rPr>
          <w:shd w:fill="FFFFFF" w:val="clear"/>
        </w:rPr>
      </w:pPr>
      <w:r>
        <w:rPr>
          <w:sz w:val="28"/>
          <w:szCs w:val="28"/>
          <w:shd w:fill="FFFFFF" w:val="clear"/>
        </w:rPr>
        <w:t>В структуре инвестиций по видам экономической деятельности наибольшую долю занимали «Сельское, лесное хозяйство, охота, рыболовство и рыбоводство» (</w:t>
      </w:r>
      <w:r>
        <w:rPr>
          <w:rFonts w:eastAsia="Times New Roman" w:cs="Times New Roman"/>
          <w:color w:val="000000"/>
          <w:kern w:val="0"/>
          <w:sz w:val="28"/>
          <w:szCs w:val="28"/>
          <w:shd w:fill="FFFFFF" w:val="clear"/>
          <w:lang w:val="ru-RU" w:eastAsia="ru-RU" w:bidi="ar-SA"/>
        </w:rPr>
        <w:t>38,1</w:t>
      </w:r>
      <w:r>
        <w:rPr>
          <w:sz w:val="28"/>
          <w:szCs w:val="28"/>
          <w:shd w:fill="FFFFFF" w:val="clear"/>
        </w:rPr>
        <w:t xml:space="preserve"> процента) и «Обрабатывающие производства» (</w:t>
      </w:r>
      <w:r>
        <w:rPr>
          <w:rFonts w:eastAsia="Times New Roman" w:cs="Times New Roman"/>
          <w:color w:val="000000"/>
          <w:kern w:val="0"/>
          <w:sz w:val="28"/>
          <w:szCs w:val="28"/>
          <w:shd w:fill="FFFFFF" w:val="clear"/>
          <w:lang w:val="ru-RU" w:eastAsia="ru-RU" w:bidi="ar-SA"/>
        </w:rPr>
        <w:t>17,0</w:t>
      </w:r>
      <w:r>
        <w:rPr>
          <w:sz w:val="28"/>
          <w:szCs w:val="28"/>
          <w:shd w:fill="FFFFFF" w:val="clear"/>
        </w:rPr>
        <w:t xml:space="preserve"> процентов).</w:t>
      </w:r>
    </w:p>
    <w:p>
      <w:pPr>
        <w:pStyle w:val="Normal"/>
        <w:ind w:firstLine="709"/>
        <w:jc w:val="both"/>
        <w:rPr>
          <w:shd w:fill="FFFFFF" w:val="clear"/>
        </w:rPr>
      </w:pPr>
      <w:r>
        <w:rPr>
          <w:sz w:val="28"/>
          <w:szCs w:val="28"/>
          <w:shd w:fill="FFFFFF" w:val="clear"/>
        </w:rPr>
        <w:t xml:space="preserve">По оценке в 2021 году объем инвестиций в основной капитал составит </w:t>
      </w:r>
      <w:r>
        <w:rPr>
          <w:rFonts w:eastAsia="Times New Roman" w:cs="Times New Roman"/>
          <w:color w:val="000000"/>
          <w:kern w:val="0"/>
          <w:sz w:val="28"/>
          <w:szCs w:val="28"/>
          <w:shd w:fill="FFFFFF" w:val="clear"/>
          <w:lang w:val="ru-RU" w:eastAsia="ru-RU" w:bidi="ar-SA"/>
        </w:rPr>
        <w:t>81,3</w:t>
      </w:r>
      <w:r>
        <w:rPr>
          <w:sz w:val="28"/>
          <w:szCs w:val="28"/>
          <w:shd w:fill="FFFFFF" w:val="clear"/>
        </w:rPr>
        <w:t xml:space="preserve"> млрд. рублей или </w:t>
      </w:r>
      <w:r>
        <w:rPr>
          <w:rFonts w:eastAsia="Times New Roman" w:cs="Times New Roman"/>
          <w:color w:val="000000"/>
          <w:kern w:val="0"/>
          <w:sz w:val="28"/>
          <w:szCs w:val="28"/>
          <w:shd w:fill="FFFFFF" w:val="clear"/>
          <w:lang w:val="ru-RU" w:eastAsia="ru-RU" w:bidi="ar-SA"/>
        </w:rPr>
        <w:t>104,3</w:t>
      </w:r>
      <w:r>
        <w:rPr>
          <w:sz w:val="28"/>
          <w:szCs w:val="28"/>
          <w:shd w:fill="FFFFFF" w:val="clear"/>
        </w:rPr>
        <w:t xml:space="preserve"> процента к уровню 20</w:t>
      </w:r>
      <w:r>
        <w:rPr>
          <w:rFonts w:eastAsia="Times New Roman" w:cs="Times New Roman"/>
          <w:color w:val="000000"/>
          <w:kern w:val="0"/>
          <w:sz w:val="28"/>
          <w:szCs w:val="28"/>
          <w:shd w:fill="FFFFFF" w:val="clear"/>
          <w:lang w:val="ru-RU" w:eastAsia="ru-RU" w:bidi="ar-SA"/>
        </w:rPr>
        <w:t>20</w:t>
      </w:r>
      <w:r>
        <w:rPr>
          <w:sz w:val="28"/>
          <w:szCs w:val="28"/>
          <w:shd w:fill="FFFFFF" w:val="clear"/>
        </w:rPr>
        <w:t xml:space="preserve"> года (в сопоставимых ценах).</w:t>
      </w:r>
    </w:p>
    <w:p>
      <w:pPr>
        <w:pStyle w:val="Normal"/>
        <w:ind w:firstLine="709"/>
        <w:jc w:val="both"/>
        <w:rPr>
          <w:shd w:fill="FFFFFF" w:val="clear"/>
        </w:rPr>
      </w:pPr>
      <w:r>
        <w:rPr>
          <w:sz w:val="28"/>
          <w:szCs w:val="28"/>
          <w:shd w:fill="FFFFFF" w:val="clear"/>
        </w:rPr>
        <w:t>В прогнозируемый период (2022 – 2024 годы) рост объема инвестиций в основной капитал будет обеспечен за счет действующих и новых инвестиционных проектов.</w:t>
      </w:r>
    </w:p>
    <w:p>
      <w:pPr>
        <w:pStyle w:val="Normal"/>
        <w:ind w:left="0" w:right="0" w:firstLine="709"/>
        <w:jc w:val="both"/>
        <w:rPr>
          <w:shd w:fill="FFFFFF" w:val="clear"/>
        </w:rPr>
      </w:pPr>
      <w:r>
        <w:rPr>
          <w:sz w:val="28"/>
          <w:szCs w:val="28"/>
          <w:shd w:fill="FFFFFF" w:val="clear"/>
        </w:rPr>
        <w:t>Так, по виду экономической деятельности «Обрабатывающие производства» будет продолжена реализация следующих инвестиционных проектов: «Строительство цеха по производству гофрокартона», «3-й этап модернизации КДМ №5 для увеличения выпуска картона», «Реконструкция участка переработки гофропроизводства» в АО «Пролетарий»</w:t>
      </w:r>
      <w:r>
        <w:rPr>
          <w:bCs/>
          <w:sz w:val="28"/>
          <w:szCs w:val="28"/>
          <w:shd w:fill="FFFFFF" w:val="clear"/>
        </w:rPr>
        <w:t>;</w:t>
      </w:r>
      <w:r>
        <w:rPr>
          <w:sz w:val="28"/>
          <w:szCs w:val="28"/>
          <w:shd w:fill="FFFFFF" w:val="clear"/>
        </w:rPr>
        <w:t xml:space="preserve"> </w:t>
      </w:r>
      <w:r>
        <w:rPr>
          <w:shd w:fill="FFFFFF" w:val="clear"/>
        </w:rPr>
        <w:t>«</w:t>
      </w:r>
      <w:r>
        <w:rPr>
          <w:sz w:val="28"/>
          <w:szCs w:val="28"/>
          <w:shd w:fill="FFFFFF" w:val="clear"/>
        </w:rPr>
        <w:t>Модернизация производства маневровых тепловозов» в АО «</w:t>
      </w:r>
      <w:r>
        <w:rPr>
          <w:rFonts w:eastAsia="Times New Roman" w:cs="Times New Roman"/>
          <w:color w:val="000000"/>
          <w:kern w:val="0"/>
          <w:sz w:val="28"/>
          <w:szCs w:val="28"/>
          <w:shd w:fill="FFFFFF" w:val="clear"/>
          <w:lang w:val="ru-RU" w:eastAsia="ru-RU" w:bidi="ar-SA"/>
        </w:rPr>
        <w:t>УК</w:t>
      </w:r>
      <w:r>
        <w:rPr>
          <w:sz w:val="28"/>
          <w:szCs w:val="28"/>
          <w:shd w:fill="FFFFFF" w:val="clear"/>
        </w:rPr>
        <w:t xml:space="preserve"> «Брянский машиностроительный завод»; «Организация производства инновационного импортозамещающего материала монослойного антикоррозионного полимерного композиционного покрытия для газонефтепроводных труб» и  «Организация серийного производства стеклопластиковой ленты однонаправленно армированной «АТП ЛЕНТА» для защиты изоляционного покрытия стальных труб магистральных газо- и нефтепроводов проекта производства защитного стеклопластикового покрытия «Кольчуга» в АО «Метаклэй»; «Расширение производства вольфрама, порошков карбида вольфрама, штабиков вольфрама, ферровольфрама. Строительство участков по производству щтабиков молибдена, твердых сплавов и смесей, переработка молибденсодержащих катализаторов» в ООО «Унечский завод тугоплавких металлов»; «Расширение действующего производства» в АО «Брянский автомобильный завод»; «Реконструкция производства по выпуску спецтехники» в ООО «Амкодор-Брянск»; «Создание промышленного комплекса по производству лекарственных средств полного цикла на базе Федерального государственного унитарного предприятия «Московский эндокринный завод» и другие.</w:t>
      </w:r>
    </w:p>
    <w:p>
      <w:pPr>
        <w:pStyle w:val="Normal"/>
        <w:ind w:left="0" w:right="0" w:firstLine="708"/>
        <w:jc w:val="both"/>
        <w:rPr>
          <w:shd w:fill="FFFFFF" w:val="clear"/>
        </w:rPr>
      </w:pPr>
      <w:r>
        <w:rPr>
          <w:sz w:val="28"/>
          <w:szCs w:val="28"/>
          <w:shd w:fill="FFFFFF" w:val="clear"/>
        </w:rPr>
        <w:t xml:space="preserve">В агропромышленном комплексе области продолжится реализация инвестиционных проектов: «Увеличение мощности комплекса по производству высокопродуктивного мясного поголовья КРС и комплекса по убою и первичной переработке КРС», «2 этап увеличения мощности комплекса по производству высокопродуктивного мясного поголовья крупного рогатого скота и комплекса по убою и первичной переработке крупного рогатого скота», «Строительство линии по первичной переработке прочей мясной продукции комплекса по убою и переработке мяса крупного рогатого скота, мощностью 100 голов в час, расположенного вблизи н.п. Хмелево Выгоничского района Брянской области», «Строительство линии по переработке прочей мясной продукции комплекса по убою КРС (IV этап строительства)»,  «Строительство откормочной площадки на 80000 голов КРС с базой предубойного содержания скота вблизи г. Севск Брянской области» - ООО «Брянская мясная компания»; «Создание комплекса по выращиванию, убою и переработке мяса цыплят-бройлеров» и «Строительство комбикормового завода, расположенного возле н.п. Пильшино Выгоничского района Брянской области», «Расширение комплекса по выращиванию, убою и переработке мяса цыплят бройлеров» - ООО «Брянский бройлер»; «Расширение действующего производства молочно-товарной фермы КРС со строительством корпусов на 1450 скотомест в с. Чаусы Погарского района Брянской области» - ООО «Колхозник»; «Создание кролиководческой фермы на 12 тыс. кроликоматок», «Строительство функционирующего кролиководческого хозяйства  на 18 откормо-маточных корпусов, вместимость одного ОМК составляет 1430 самок» - КФХ (ЮЛ) Агрохолдинг «Кролково»; «Производство картофеля высокой пищевой ценности на основе использования генетических ресурсов картофеля, адаптивной технологии его возделывания и современных методов хранения, предпродажной подготовки и логистики» - АО «Погарская картофельная фабрика»; «Строительство яблоневых садов интенсивного типа площадью 350 га с овощехранилищами, глубокой переработкой и инженерными коммуникациями на территории Клетнянского района Брянской области» - ООО «Брянский сад»; </w:t>
      </w:r>
      <w:r>
        <w:rPr>
          <w:shd w:fill="FFFFFF" w:val="clear"/>
        </w:rPr>
        <w:t>«</w:t>
      </w:r>
      <w:r>
        <w:rPr>
          <w:sz w:val="28"/>
          <w:szCs w:val="28"/>
          <w:shd w:fill="FFFFFF" w:val="clear"/>
        </w:rPr>
        <w:t xml:space="preserve">Реконструкция существующего завода «Умалат» по производству сыров в г. Севск», «Строительство склада готовой продукции, склада хранения ТМЦ и новых очистных сооружений (этап 2) на базе завода «Умалат» по производству сыров в г. Севск» - ЗАО «Умалат»; «Строительство нового цеха производства твердых сыров мощностью 1200 тонн в месяц» -  ООО «Брасовские сыры»; «Строительство на территории Брянской области </w:t>
      </w:r>
      <w:r>
        <w:rPr>
          <w:rFonts w:eastAsia="Times New Roman" w:cs="Times New Roman"/>
          <w:color w:val="000000"/>
          <w:kern w:val="0"/>
          <w:sz w:val="28"/>
          <w:szCs w:val="28"/>
          <w:shd w:fill="FFFFFF" w:val="clear"/>
          <w:lang w:val="ru-RU" w:eastAsia="ru-RU" w:bidi="ar-SA"/>
        </w:rPr>
        <w:t>15-ти</w:t>
      </w:r>
      <w:r>
        <w:rPr>
          <w:sz w:val="28"/>
          <w:szCs w:val="28"/>
          <w:shd w:fill="FFFFFF" w:val="clear"/>
        </w:rPr>
        <w:t xml:space="preserve"> свиноводческих комплексов» - ООО «Мираторг-Курск» (обособленное подразделение) и другие.</w:t>
      </w:r>
    </w:p>
    <w:p>
      <w:pPr>
        <w:pStyle w:val="Normal"/>
        <w:ind w:left="0" w:right="0" w:firstLine="709"/>
        <w:jc w:val="both"/>
        <w:rPr>
          <w:shd w:fill="FFFFFF" w:val="clear"/>
        </w:rPr>
      </w:pPr>
      <w:r>
        <w:rPr>
          <w:sz w:val="28"/>
          <w:szCs w:val="28"/>
          <w:shd w:fill="FFFFFF" w:val="clear"/>
        </w:rPr>
        <w:t xml:space="preserve">В жилищно-коммунальном комплексе продолжится реализация программ по проведению капитального ремонта многоквартирных домов и по переселению граждан из аварийного жилищного фонда. </w:t>
      </w:r>
    </w:p>
    <w:p>
      <w:pPr>
        <w:pStyle w:val="Normal"/>
        <w:ind w:firstLine="709"/>
        <w:jc w:val="both"/>
        <w:rPr>
          <w:shd w:fill="FFFFFF" w:val="clear"/>
        </w:rPr>
      </w:pPr>
      <w:r>
        <w:rPr>
          <w:sz w:val="28"/>
          <w:szCs w:val="28"/>
          <w:shd w:fill="FFFFFF" w:val="clear"/>
        </w:rPr>
        <w:t>В целях увеличения объема бюджетных инвестиций, поступающих  в регион, исполнительными органами государственной власти Брянской области – главными распорядителями бюджетных средств – ведется активная работа по привлечению в бюджет Брянской области средств федерального бюджета.</w:t>
      </w:r>
    </w:p>
    <w:p>
      <w:pPr>
        <w:pStyle w:val="Normal"/>
        <w:ind w:firstLine="709"/>
        <w:jc w:val="both"/>
        <w:rPr>
          <w:shd w:fill="FFFFFF" w:val="clear"/>
        </w:rPr>
      </w:pPr>
      <w:r>
        <w:rPr>
          <w:sz w:val="28"/>
          <w:szCs w:val="28"/>
          <w:shd w:fill="FFFFFF" w:val="clear"/>
        </w:rPr>
        <w:t>Всего из федерального бюджета привлечено в форме субсидий и иных межбюджетных трансфертов:</w:t>
      </w:r>
    </w:p>
    <w:p>
      <w:pPr>
        <w:pStyle w:val="Normal"/>
        <w:ind w:firstLine="709"/>
        <w:jc w:val="both"/>
        <w:rPr>
          <w:shd w:fill="FFFFFF" w:val="clear"/>
        </w:rPr>
      </w:pPr>
      <w:r>
        <w:rPr>
          <w:sz w:val="28"/>
          <w:szCs w:val="28"/>
          <w:shd w:fill="FFFFFF" w:val="clear"/>
        </w:rPr>
        <w:t>в 2019 году –17,4 млрд. рублей в рамках 17 государственных программ Российской Федерации;</w:t>
      </w:r>
    </w:p>
    <w:p>
      <w:pPr>
        <w:pStyle w:val="Normal"/>
        <w:ind w:firstLine="709"/>
        <w:jc w:val="both"/>
        <w:rPr>
          <w:shd w:fill="FFFFFF" w:val="clear"/>
        </w:rPr>
      </w:pPr>
      <w:r>
        <w:rPr>
          <w:sz w:val="28"/>
          <w:szCs w:val="28"/>
          <w:shd w:fill="FFFFFF" w:val="clear"/>
        </w:rPr>
        <w:t xml:space="preserve">в 2020 году – </w:t>
      </w:r>
      <w:r>
        <w:rPr>
          <w:rFonts w:eastAsia="Times New Roman" w:cs="Times New Roman"/>
          <w:color w:val="000000"/>
          <w:kern w:val="0"/>
          <w:sz w:val="28"/>
          <w:szCs w:val="28"/>
          <w:shd w:fill="FFFFFF" w:val="clear"/>
          <w:lang w:val="ru-RU" w:eastAsia="ru-RU" w:bidi="ar-SA"/>
        </w:rPr>
        <w:t>23,4</w:t>
      </w:r>
      <w:r>
        <w:rPr>
          <w:sz w:val="28"/>
          <w:szCs w:val="28"/>
          <w:shd w:fill="FFFFFF" w:val="clear"/>
        </w:rPr>
        <w:t xml:space="preserve"> млрд. рублей в рамках 19 государственных программ Российской Федерации;</w:t>
      </w:r>
    </w:p>
    <w:p>
      <w:pPr>
        <w:pStyle w:val="Normal"/>
        <w:ind w:firstLine="709"/>
        <w:jc w:val="both"/>
        <w:rPr>
          <w:shd w:fill="FFFFFF" w:val="clear"/>
        </w:rPr>
      </w:pPr>
      <w:r>
        <w:rPr>
          <w:sz w:val="28"/>
          <w:szCs w:val="28"/>
          <w:shd w:fill="FFFFFF" w:val="clear"/>
        </w:rPr>
        <w:t xml:space="preserve">за 9 месяцев 2021 года — </w:t>
      </w:r>
      <w:r>
        <w:rPr>
          <w:rFonts w:eastAsia="Times New Roman" w:cs="Times New Roman"/>
          <w:color w:val="000000"/>
          <w:kern w:val="0"/>
          <w:sz w:val="28"/>
          <w:szCs w:val="28"/>
          <w:shd w:fill="FFFFFF" w:val="clear"/>
          <w:lang w:val="ru-RU" w:eastAsia="ru-RU" w:bidi="ar-SA"/>
        </w:rPr>
        <w:t>22,96</w:t>
      </w:r>
      <w:r>
        <w:rPr>
          <w:sz w:val="28"/>
          <w:szCs w:val="28"/>
          <w:shd w:fill="FFFFFF" w:val="clear"/>
        </w:rPr>
        <w:t xml:space="preserve"> млрд. рублей в рамках 17 государственных программ Российской Федерации.</w:t>
      </w:r>
    </w:p>
    <w:p>
      <w:pPr>
        <w:pStyle w:val="Normal"/>
        <w:ind w:firstLine="709"/>
        <w:jc w:val="both"/>
        <w:rPr>
          <w:shd w:fill="FFFFFF" w:val="clear"/>
        </w:rPr>
      </w:pPr>
      <w:r>
        <w:rPr>
          <w:sz w:val="28"/>
          <w:szCs w:val="28"/>
          <w:shd w:fill="FFFFFF" w:val="clear"/>
        </w:rPr>
        <w:t>Анализ привлеченных средств федерального бюджета показывает, что в 2019-2021 годах наибольшие объемы средств поступили в рамках госпрограмм развития сельского хозяйства, социальной поддержки граждан, развития образования, развития здравоохранения, развитие транспортной системы, развития физической культуры и спорта, а также по обеспечению доступным и комфортным жильем и коммунальными услугами граждан Российской Федерации.</w:t>
      </w:r>
      <w:bookmarkStart w:id="1" w:name="_Hlk14093949"/>
      <w:bookmarkEnd w:id="1"/>
    </w:p>
    <w:p>
      <w:pPr>
        <w:pStyle w:val="Normal"/>
        <w:ind w:firstLine="720"/>
        <w:jc w:val="both"/>
        <w:rPr>
          <w:shd w:fill="FFFFFF" w:val="clear"/>
        </w:rPr>
      </w:pPr>
      <w:r>
        <w:rPr>
          <w:sz w:val="28"/>
          <w:szCs w:val="28"/>
          <w:shd w:fill="FFFFFF" w:val="clear"/>
        </w:rPr>
        <w:t xml:space="preserve">В соответствии с Законом Брянской области от 9 июня 2015 года                           № 41-З «Об инвестиционной деятельности в Брянской области» в </w:t>
      </w:r>
      <w:r>
        <w:rPr>
          <w:bCs/>
          <w:sz w:val="28"/>
          <w:szCs w:val="28"/>
          <w:shd w:fill="FFFFFF" w:val="clear"/>
        </w:rPr>
        <w:t xml:space="preserve">2021 году  35 предприятиям области по </w:t>
      </w:r>
      <w:r>
        <w:rPr>
          <w:rFonts w:eastAsia="Times New Roman" w:cs="Times New Roman"/>
          <w:bCs/>
          <w:color w:val="000000"/>
          <w:kern w:val="0"/>
          <w:sz w:val="28"/>
          <w:szCs w:val="28"/>
          <w:shd w:fill="FFFFFF" w:val="clear"/>
          <w:lang w:val="ru-RU" w:eastAsia="ru-RU" w:bidi="ar-SA"/>
        </w:rPr>
        <w:t>55</w:t>
      </w:r>
      <w:r>
        <w:rPr>
          <w:bCs/>
          <w:sz w:val="28"/>
          <w:szCs w:val="28"/>
          <w:shd w:fill="FFFFFF" w:val="clear"/>
        </w:rPr>
        <w:t xml:space="preserve"> инвестиционным проектам предоставлено право на получение государственной поддержки в форме налоговых льгот по налогу на имущество организаций и налогу на прибыль, подлежащих зачислению  в областной бюджет, на сумму 793,3 млн. рублей. </w:t>
      </w:r>
    </w:p>
    <w:p>
      <w:pPr>
        <w:pStyle w:val="Normal"/>
        <w:ind w:firstLine="720"/>
        <w:jc w:val="both"/>
        <w:rPr>
          <w:shd w:fill="FFFFFF" w:val="clear"/>
        </w:rPr>
      </w:pPr>
      <w:r>
        <w:rPr>
          <w:bCs/>
          <w:sz w:val="28"/>
          <w:szCs w:val="28"/>
          <w:shd w:fill="FFFFFF" w:val="clear"/>
        </w:rPr>
        <w:t>Фактически за 1 полугодие 20</w:t>
      </w:r>
      <w:r>
        <w:rPr>
          <w:rFonts w:eastAsia="Times New Roman" w:cs="Times New Roman"/>
          <w:bCs/>
          <w:color w:val="000000"/>
          <w:kern w:val="0"/>
          <w:sz w:val="28"/>
          <w:szCs w:val="28"/>
          <w:shd w:fill="FFFFFF" w:val="clear"/>
          <w:lang w:val="ru-RU" w:eastAsia="ru-RU" w:bidi="ar-SA"/>
        </w:rPr>
        <w:t>21</w:t>
      </w:r>
      <w:r>
        <w:rPr>
          <w:bCs/>
          <w:sz w:val="28"/>
          <w:szCs w:val="28"/>
          <w:shd w:fill="FFFFFF" w:val="clear"/>
        </w:rPr>
        <w:t xml:space="preserve"> года данным правом воспользовалось             27 предприятий по </w:t>
      </w:r>
      <w:r>
        <w:rPr>
          <w:rFonts w:eastAsia="Times New Roman" w:cs="Times New Roman"/>
          <w:bCs/>
          <w:color w:val="000000"/>
          <w:kern w:val="0"/>
          <w:sz w:val="28"/>
          <w:szCs w:val="28"/>
          <w:shd w:fill="FFFFFF" w:val="clear"/>
          <w:lang w:val="ru-RU" w:eastAsia="ru-RU" w:bidi="ar-SA"/>
        </w:rPr>
        <w:t>45</w:t>
      </w:r>
      <w:r>
        <w:rPr>
          <w:bCs/>
          <w:sz w:val="28"/>
          <w:szCs w:val="28"/>
          <w:shd w:fill="FFFFFF" w:val="clear"/>
        </w:rPr>
        <w:t xml:space="preserve"> инвестиционным проектам. Сумма льгот составила </w:t>
      </w:r>
      <w:r>
        <w:rPr>
          <w:rFonts w:eastAsia="Times New Roman" w:cs="Times New Roman"/>
          <w:bCs/>
          <w:color w:val="000000"/>
          <w:kern w:val="0"/>
          <w:sz w:val="28"/>
          <w:szCs w:val="28"/>
          <w:shd w:fill="FFFFFF" w:val="clear"/>
          <w:lang w:val="ru-RU" w:eastAsia="ru-RU" w:bidi="ar-SA"/>
        </w:rPr>
        <w:t>277,1</w:t>
      </w:r>
      <w:r>
        <w:rPr>
          <w:bCs/>
          <w:sz w:val="28"/>
          <w:szCs w:val="28"/>
          <w:shd w:fill="FFFFFF" w:val="clear"/>
        </w:rPr>
        <w:t xml:space="preserve"> млн. рублей. Предприятиями в рамках реализации инвестиционных проектов освоено </w:t>
      </w:r>
      <w:r>
        <w:rPr>
          <w:rFonts w:eastAsia="Times New Roman" w:cs="Times New Roman"/>
          <w:bCs/>
          <w:color w:val="000000"/>
          <w:kern w:val="0"/>
          <w:sz w:val="28"/>
          <w:szCs w:val="28"/>
          <w:shd w:fill="FFFFFF" w:val="clear"/>
          <w:lang w:val="ru-RU" w:eastAsia="ru-RU" w:bidi="ar-SA"/>
        </w:rPr>
        <w:t>5,1</w:t>
      </w:r>
      <w:r>
        <w:rPr>
          <w:bCs/>
          <w:sz w:val="28"/>
          <w:szCs w:val="28"/>
          <w:shd w:fill="FFFFFF" w:val="clear"/>
        </w:rPr>
        <w:t xml:space="preserve"> млрд. рублей инвестиций. Во все уровни бюджетов ими уплачено налогов в сумме </w:t>
      </w:r>
      <w:r>
        <w:rPr>
          <w:rFonts w:eastAsia="Times New Roman" w:cs="Times New Roman"/>
          <w:bCs/>
          <w:color w:val="000000"/>
          <w:kern w:val="0"/>
          <w:sz w:val="28"/>
          <w:szCs w:val="28"/>
          <w:shd w:fill="FFFFFF" w:val="clear"/>
          <w:lang w:val="ru-RU" w:eastAsia="ru-RU" w:bidi="ar-SA"/>
        </w:rPr>
        <w:t>2,7 млрд</w:t>
      </w:r>
      <w:r>
        <w:rPr>
          <w:bCs/>
          <w:sz w:val="28"/>
          <w:szCs w:val="28"/>
          <w:shd w:fill="FFFFFF" w:val="clear"/>
        </w:rPr>
        <w:t xml:space="preserve">. рублей, в том числе в областной бюджет – </w:t>
      </w:r>
      <w:r>
        <w:rPr>
          <w:rFonts w:eastAsia="Times New Roman" w:cs="Times New Roman"/>
          <w:bCs/>
          <w:color w:val="000000"/>
          <w:kern w:val="0"/>
          <w:sz w:val="28"/>
          <w:szCs w:val="28"/>
          <w:shd w:fill="FFFFFF" w:val="clear"/>
          <w:lang w:val="ru-RU" w:eastAsia="ru-RU" w:bidi="ar-SA"/>
        </w:rPr>
        <w:t>1,3 млрд</w:t>
      </w:r>
      <w:r>
        <w:rPr>
          <w:bCs/>
          <w:sz w:val="28"/>
          <w:szCs w:val="28"/>
          <w:shd w:fill="FFFFFF" w:val="clear"/>
        </w:rPr>
        <w:t xml:space="preserve">. рублей. Объем выручки составил </w:t>
      </w:r>
      <w:r>
        <w:rPr>
          <w:rFonts w:eastAsia="Times New Roman" w:cs="Times New Roman"/>
          <w:bCs/>
          <w:color w:val="000000"/>
          <w:kern w:val="0"/>
          <w:sz w:val="28"/>
          <w:szCs w:val="28"/>
          <w:shd w:fill="FFFFFF" w:val="clear"/>
          <w:lang w:val="ru-RU" w:eastAsia="ru-RU" w:bidi="ar-SA"/>
        </w:rPr>
        <w:t>79,3</w:t>
      </w:r>
      <w:r>
        <w:rPr>
          <w:bCs/>
          <w:sz w:val="28"/>
          <w:szCs w:val="28"/>
          <w:shd w:fill="FFFFFF" w:val="clear"/>
        </w:rPr>
        <w:t xml:space="preserve"> млрд. рублей. В результате реализации инвестиционных проектов создано </w:t>
      </w:r>
      <w:r>
        <w:rPr>
          <w:rFonts w:eastAsia="Times New Roman" w:cs="Times New Roman"/>
          <w:bCs/>
          <w:color w:val="000000"/>
          <w:kern w:val="0"/>
          <w:sz w:val="28"/>
          <w:szCs w:val="28"/>
          <w:shd w:fill="FFFFFF" w:val="clear"/>
          <w:lang w:val="ru-RU" w:eastAsia="ru-RU" w:bidi="ar-SA"/>
        </w:rPr>
        <w:t>816</w:t>
      </w:r>
      <w:r>
        <w:rPr>
          <w:bCs/>
          <w:sz w:val="28"/>
          <w:szCs w:val="28"/>
          <w:shd w:fill="FFFFFF" w:val="clear"/>
        </w:rPr>
        <w:t xml:space="preserve"> новых рабочих мест. </w:t>
      </w:r>
    </w:p>
    <w:p>
      <w:pPr>
        <w:pStyle w:val="Normal"/>
        <w:ind w:left="0" w:right="0" w:firstLine="708"/>
        <w:jc w:val="both"/>
        <w:rPr>
          <w:shd w:fill="FFFFFF" w:val="clear"/>
        </w:rPr>
      </w:pPr>
      <w:r>
        <w:rPr>
          <w:sz w:val="28"/>
          <w:szCs w:val="28"/>
          <w:shd w:fill="FFFFFF" w:val="clear"/>
        </w:rPr>
        <w:t>На получение государственной поддержки в форме налоговых льгот по налогу на имущество организаций и налогу на прибыль, подлежащих зачислению  в областной бюджет, претендуют:</w:t>
      </w:r>
    </w:p>
    <w:p>
      <w:pPr>
        <w:pStyle w:val="Normal"/>
        <w:ind w:left="0" w:right="0" w:firstLine="708"/>
        <w:jc w:val="both"/>
        <w:rPr>
          <w:shd w:fill="FFFFFF" w:val="clear"/>
        </w:rPr>
      </w:pPr>
      <w:r>
        <w:rPr>
          <w:sz w:val="28"/>
          <w:szCs w:val="28"/>
          <w:shd w:fill="FFFFFF" w:val="clear"/>
        </w:rPr>
        <w:t xml:space="preserve">в 2022 году – 34 предприятия по </w:t>
      </w:r>
      <w:r>
        <w:rPr>
          <w:rFonts w:eastAsia="Times New Roman" w:cs="Times New Roman"/>
          <w:color w:val="000000"/>
          <w:kern w:val="0"/>
          <w:sz w:val="28"/>
          <w:szCs w:val="28"/>
          <w:shd w:fill="FFFFFF" w:val="clear"/>
          <w:lang w:val="ru-RU" w:eastAsia="ru-RU" w:bidi="ar-SA"/>
        </w:rPr>
        <w:t>57</w:t>
      </w:r>
      <w:r>
        <w:rPr>
          <w:sz w:val="28"/>
          <w:szCs w:val="28"/>
          <w:shd w:fill="FFFFFF" w:val="clear"/>
        </w:rPr>
        <w:t xml:space="preserve"> инвестиционным проектам, планируемая сумма льгот – </w:t>
      </w:r>
      <w:r>
        <w:rPr>
          <w:rFonts w:eastAsia="Times New Roman" w:cs="Times New Roman"/>
          <w:color w:val="000000"/>
          <w:kern w:val="0"/>
          <w:sz w:val="28"/>
          <w:szCs w:val="28"/>
          <w:shd w:fill="FFFFFF" w:val="clear"/>
          <w:lang w:val="ru-RU" w:eastAsia="ru-RU" w:bidi="ar-SA"/>
        </w:rPr>
        <w:t>934,7</w:t>
      </w:r>
      <w:r>
        <w:rPr>
          <w:sz w:val="28"/>
          <w:szCs w:val="28"/>
          <w:shd w:fill="FFFFFF" w:val="clear"/>
        </w:rPr>
        <w:t xml:space="preserve"> млн. рублей;</w:t>
      </w:r>
    </w:p>
    <w:p>
      <w:pPr>
        <w:pStyle w:val="Normal"/>
        <w:ind w:left="0" w:right="0" w:firstLine="708"/>
        <w:jc w:val="both"/>
        <w:rPr>
          <w:shd w:fill="FFFFFF" w:val="clear"/>
        </w:rPr>
      </w:pPr>
      <w:r>
        <w:rPr>
          <w:sz w:val="28"/>
          <w:szCs w:val="28"/>
          <w:shd w:fill="FFFFFF" w:val="clear"/>
        </w:rPr>
        <w:t xml:space="preserve">в 2023 году – </w:t>
      </w:r>
      <w:r>
        <w:rPr>
          <w:rFonts w:eastAsia="Times New Roman" w:cs="Times New Roman"/>
          <w:color w:val="000000"/>
          <w:kern w:val="0"/>
          <w:sz w:val="28"/>
          <w:szCs w:val="28"/>
          <w:shd w:fill="FFFFFF" w:val="clear"/>
          <w:lang w:val="ru-RU" w:eastAsia="ru-RU" w:bidi="ar-SA"/>
        </w:rPr>
        <w:t>27</w:t>
      </w:r>
      <w:r>
        <w:rPr>
          <w:sz w:val="28"/>
          <w:szCs w:val="28"/>
          <w:shd w:fill="FFFFFF" w:val="clear"/>
        </w:rPr>
        <w:t xml:space="preserve"> предприятий по </w:t>
      </w:r>
      <w:r>
        <w:rPr>
          <w:rFonts w:eastAsia="Times New Roman" w:cs="Times New Roman"/>
          <w:color w:val="000000"/>
          <w:kern w:val="0"/>
          <w:sz w:val="28"/>
          <w:szCs w:val="28"/>
          <w:shd w:fill="FFFFFF" w:val="clear"/>
          <w:lang w:val="en-US" w:eastAsia="ru-RU" w:bidi="ar-SA"/>
        </w:rPr>
        <w:t>47</w:t>
      </w:r>
      <w:r>
        <w:rPr>
          <w:sz w:val="28"/>
          <w:szCs w:val="28"/>
          <w:shd w:fill="FFFFFF" w:val="clear"/>
        </w:rPr>
        <w:t xml:space="preserve"> инвестиционным проектам, планируемая сумма льгот – </w:t>
      </w:r>
      <w:r>
        <w:rPr>
          <w:rFonts w:eastAsia="Times New Roman" w:cs="Times New Roman"/>
          <w:color w:val="000000"/>
          <w:kern w:val="0"/>
          <w:sz w:val="28"/>
          <w:szCs w:val="28"/>
          <w:shd w:fill="FFFFFF" w:val="clear"/>
          <w:lang w:val="ru-RU" w:eastAsia="ru-RU" w:bidi="ar-SA"/>
        </w:rPr>
        <w:t>711,4 млн</w:t>
      </w:r>
      <w:r>
        <w:rPr>
          <w:sz w:val="28"/>
          <w:szCs w:val="28"/>
          <w:shd w:fill="FFFFFF" w:val="clear"/>
        </w:rPr>
        <w:t>. рублей;</w:t>
      </w:r>
    </w:p>
    <w:p>
      <w:pPr>
        <w:pStyle w:val="Normal"/>
        <w:ind w:left="0" w:right="0" w:firstLine="708"/>
        <w:jc w:val="both"/>
        <w:rPr>
          <w:shd w:fill="FFFFFF" w:val="clear"/>
        </w:rPr>
      </w:pPr>
      <w:r>
        <w:rPr>
          <w:sz w:val="28"/>
          <w:szCs w:val="28"/>
          <w:shd w:fill="FFFFFF" w:val="clear"/>
        </w:rPr>
        <w:t xml:space="preserve">в 2024 году – </w:t>
      </w:r>
      <w:r>
        <w:rPr>
          <w:rFonts w:eastAsia="Times New Roman" w:cs="Times New Roman"/>
          <w:color w:val="000000"/>
          <w:kern w:val="0"/>
          <w:sz w:val="28"/>
          <w:szCs w:val="28"/>
          <w:shd w:fill="FFFFFF" w:val="clear"/>
          <w:lang w:val="ru-RU" w:eastAsia="ru-RU" w:bidi="ar-SA"/>
        </w:rPr>
        <w:t>22</w:t>
      </w:r>
      <w:r>
        <w:rPr>
          <w:sz w:val="28"/>
          <w:szCs w:val="28"/>
          <w:shd w:fill="FFFFFF" w:val="clear"/>
        </w:rPr>
        <w:t xml:space="preserve"> предприятия по </w:t>
      </w:r>
      <w:r>
        <w:rPr>
          <w:rFonts w:eastAsia="Times New Roman" w:cs="Times New Roman"/>
          <w:color w:val="000000"/>
          <w:kern w:val="0"/>
          <w:sz w:val="28"/>
          <w:szCs w:val="28"/>
          <w:shd w:fill="FFFFFF" w:val="clear"/>
          <w:lang w:val="en-US" w:eastAsia="ru-RU" w:bidi="ar-SA"/>
        </w:rPr>
        <w:t>40</w:t>
      </w:r>
      <w:r>
        <w:rPr>
          <w:sz w:val="28"/>
          <w:szCs w:val="28"/>
          <w:shd w:fill="FFFFFF" w:val="clear"/>
        </w:rPr>
        <w:t xml:space="preserve"> инвестиционным проектам, планируемая сумма льгот – </w:t>
      </w:r>
      <w:r>
        <w:rPr>
          <w:rFonts w:eastAsia="Times New Roman" w:cs="Times New Roman"/>
          <w:color w:val="000000"/>
          <w:kern w:val="0"/>
          <w:sz w:val="28"/>
          <w:szCs w:val="28"/>
          <w:shd w:fill="FFFFFF" w:val="clear"/>
          <w:lang w:val="ru-RU" w:eastAsia="ru-RU" w:bidi="ar-SA"/>
        </w:rPr>
        <w:t>670,8 млн</w:t>
      </w:r>
      <w:r>
        <w:rPr>
          <w:sz w:val="28"/>
          <w:szCs w:val="28"/>
          <w:shd w:fill="FFFFFF" w:val="clear"/>
        </w:rPr>
        <w:t>. рублей.</w:t>
      </w:r>
    </w:p>
    <w:p>
      <w:pPr>
        <w:pStyle w:val="Normal"/>
        <w:ind w:firstLine="709"/>
        <w:jc w:val="both"/>
        <w:rPr>
          <w:shd w:fill="FFFFFF" w:val="clear"/>
        </w:rPr>
      </w:pPr>
      <w:r>
        <w:rPr>
          <w:sz w:val="28"/>
          <w:szCs w:val="28"/>
          <w:shd w:fill="FFFFFF" w:val="clear"/>
        </w:rPr>
        <w:t xml:space="preserve">По прогнозным расчетам рост инвестиций в основной капитал в 2022 году составит </w:t>
      </w:r>
      <w:r>
        <w:rPr>
          <w:rFonts w:eastAsia="Times New Roman" w:cs="Times New Roman"/>
          <w:color w:val="000000"/>
          <w:kern w:val="0"/>
          <w:sz w:val="28"/>
          <w:szCs w:val="28"/>
          <w:shd w:fill="FFFFFF" w:val="clear"/>
          <w:lang w:val="ru-RU" w:eastAsia="ru-RU" w:bidi="ar-SA"/>
        </w:rPr>
        <w:t>4,8</w:t>
      </w:r>
      <w:r>
        <w:rPr>
          <w:sz w:val="28"/>
          <w:szCs w:val="28"/>
          <w:shd w:fill="FFFFFF" w:val="clear"/>
        </w:rPr>
        <w:t xml:space="preserve"> процента, в 2023 году -5,1 процента, в 2024 году – </w:t>
      </w:r>
      <w:r>
        <w:rPr>
          <w:rFonts w:eastAsia="Times New Roman" w:cs="Times New Roman"/>
          <w:color w:val="000000"/>
          <w:kern w:val="0"/>
          <w:sz w:val="28"/>
          <w:szCs w:val="28"/>
          <w:shd w:fill="FFFFFF" w:val="clear"/>
          <w:lang w:val="ru-RU" w:eastAsia="ru-RU" w:bidi="ar-SA"/>
        </w:rPr>
        <w:t>5,3</w:t>
      </w:r>
      <w:r>
        <w:rPr>
          <w:sz w:val="28"/>
          <w:szCs w:val="28"/>
          <w:shd w:fill="FFFFFF" w:val="clear"/>
        </w:rPr>
        <w:t xml:space="preserve"> процента (в сопоставимых ценах к предыдущему году). При этом общий объем инвестиций в основной капитал за счет всех источников финансирования в 2022 году прогнозируется в объеме </w:t>
      </w:r>
      <w:r>
        <w:rPr>
          <w:rFonts w:eastAsia="Times New Roman" w:cs="Times New Roman"/>
          <w:color w:val="000000"/>
          <w:kern w:val="0"/>
          <w:sz w:val="28"/>
          <w:szCs w:val="28"/>
          <w:shd w:fill="FFFFFF" w:val="clear"/>
          <w:lang w:val="ru-RU" w:eastAsia="ru-RU" w:bidi="ar-SA"/>
        </w:rPr>
        <w:t>89,6</w:t>
      </w:r>
      <w:r>
        <w:rPr>
          <w:sz w:val="28"/>
          <w:szCs w:val="28"/>
          <w:shd w:fill="FFFFFF" w:val="clear"/>
        </w:rPr>
        <w:t xml:space="preserve"> млрд. рублей, в 2023 году – </w:t>
      </w:r>
      <w:r>
        <w:rPr>
          <w:rFonts w:eastAsia="Times New Roman" w:cs="Times New Roman"/>
          <w:color w:val="000000"/>
          <w:kern w:val="0"/>
          <w:sz w:val="28"/>
          <w:szCs w:val="28"/>
          <w:shd w:fill="FFFFFF" w:val="clear"/>
          <w:lang w:val="ru-RU" w:eastAsia="ru-RU" w:bidi="ar-SA"/>
        </w:rPr>
        <w:t>98,7</w:t>
      </w:r>
      <w:r>
        <w:rPr>
          <w:sz w:val="28"/>
          <w:szCs w:val="28"/>
          <w:shd w:fill="FFFFFF" w:val="clear"/>
        </w:rPr>
        <w:t xml:space="preserve"> млрд. рублей, в 2024 году – </w:t>
      </w:r>
      <w:r>
        <w:rPr>
          <w:rFonts w:eastAsia="Times New Roman" w:cs="Times New Roman"/>
          <w:color w:val="000000"/>
          <w:kern w:val="0"/>
          <w:sz w:val="28"/>
          <w:szCs w:val="28"/>
          <w:shd w:fill="FFFFFF" w:val="clear"/>
          <w:lang w:val="ru-RU" w:eastAsia="ru-RU" w:bidi="ar-SA"/>
        </w:rPr>
        <w:t>108,8</w:t>
      </w:r>
      <w:r>
        <w:rPr>
          <w:sz w:val="28"/>
          <w:szCs w:val="28"/>
          <w:shd w:fill="FFFFFF" w:val="clear"/>
        </w:rPr>
        <w:t xml:space="preserve"> млрд. рублей.</w:t>
      </w:r>
    </w:p>
    <w:p>
      <w:pPr>
        <w:pStyle w:val="Normal"/>
        <w:spacing w:lineRule="auto" w:line="240" w:before="0" w:after="0"/>
        <w:ind w:firstLine="709"/>
        <w:jc w:val="both"/>
        <w:rPr>
          <w:shd w:fill="FFFFFF" w:val="clear"/>
        </w:rPr>
      </w:pP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В структуре инвестиций, по-прежнему, ведущую роль будут занимать привлеченные средства, их доля по крупным и средним предприятиям в 2024 году составит 53,</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0</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 процента. В структуре привлеченных средств доля банковских кредитов составит 40,</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0</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 процентов. Доля бюджетных инвестиций в </w:t>
      </w:r>
      <w:r>
        <w:rPr>
          <w:rFonts w:eastAsia="Times New Roman" w:cs="Times New Roman"/>
          <w:b w:val="false"/>
          <w:bCs w:val="false"/>
          <w:i w:val="false"/>
          <w:iCs w:val="false"/>
          <w:strike w:val="false"/>
          <w:dstrike w:val="false"/>
          <w:outline w:val="false"/>
          <w:shadow w:val="false"/>
          <w:color w:val="000000"/>
          <w:kern w:val="0"/>
          <w:sz w:val="28"/>
          <w:szCs w:val="28"/>
          <w:u w:val="none"/>
          <w:shd w:fill="FFFFFF" w:val="clear"/>
          <w:em w:val="none"/>
          <w:lang w:val="ru-RU" w:eastAsia="ru-RU" w:bidi="ar-SA"/>
        </w:rPr>
        <w:t xml:space="preserve">в общем объеме </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в 2024 году составит </w:t>
      </w:r>
      <w:r>
        <w:rPr>
          <w:rFonts w:eastAsia="Times New Roman" w:cs="Times New Roman"/>
          <w:b w:val="false"/>
          <w:bCs w:val="false"/>
          <w:i w:val="false"/>
          <w:iCs w:val="false"/>
          <w:strike w:val="false"/>
          <w:dstrike w:val="false"/>
          <w:outline w:val="false"/>
          <w:shadow w:val="false"/>
          <w:color w:val="000000"/>
          <w:kern w:val="0"/>
          <w:sz w:val="28"/>
          <w:szCs w:val="28"/>
          <w:u w:val="none"/>
          <w:shd w:fill="FFFFFF" w:val="clear"/>
          <w:em w:val="none"/>
          <w:lang w:val="ru-RU" w:eastAsia="ru-RU" w:bidi="ar-SA"/>
        </w:rPr>
        <w:t xml:space="preserve">8,0 </w:t>
      </w:r>
      <w:r>
        <w:rPr>
          <w:rFonts w:eastAsia="Calibri"/>
          <w:b w:val="false"/>
          <w:bCs w:val="false"/>
          <w:i w:val="false"/>
          <w:iCs w:val="false"/>
          <w:strike w:val="false"/>
          <w:dstrike w:val="false"/>
          <w:outline w:val="false"/>
          <w:shadow w:val="false"/>
          <w:color w:val="000000"/>
          <w:kern w:val="0"/>
          <w:sz w:val="28"/>
          <w:szCs w:val="28"/>
          <w:u w:val="none"/>
          <w:shd w:fill="FFFFFF" w:val="clear"/>
          <w:em w:val="none"/>
          <w:lang w:val="ru-RU" w:eastAsia="en-US" w:bidi="ar-SA"/>
        </w:rPr>
        <w:t xml:space="preserve">процентов. </w:t>
      </w:r>
    </w:p>
    <w:p>
      <w:pPr>
        <w:pStyle w:val="Normal"/>
        <w:ind w:left="0" w:right="0" w:firstLine="708"/>
        <w:jc w:val="both"/>
        <w:rPr>
          <w:sz w:val="28"/>
          <w:szCs w:val="28"/>
          <w:shd w:fill="FFFFFF" w:val="clear"/>
        </w:rPr>
      </w:pPr>
      <w:r>
        <w:rPr>
          <w:sz w:val="28"/>
          <w:szCs w:val="28"/>
          <w:shd w:fill="FFFFFF" w:val="clear"/>
        </w:rPr>
      </w:r>
    </w:p>
    <w:p>
      <w:pPr>
        <w:pStyle w:val="Normal"/>
        <w:jc w:val="center"/>
        <w:rPr>
          <w:shd w:fill="FFFFFF" w:val="clear"/>
        </w:rPr>
      </w:pPr>
      <w:r>
        <w:rPr>
          <w:b/>
          <w:sz w:val="28"/>
          <w:szCs w:val="28"/>
          <w:shd w:fill="FFFFFF" w:val="clear"/>
        </w:rPr>
        <w:t>10. Консолидированный бюджет Брянской области</w:t>
      </w:r>
    </w:p>
    <w:p>
      <w:pPr>
        <w:pStyle w:val="Normal"/>
        <w:jc w:val="center"/>
        <w:rPr>
          <w:b/>
          <w:b/>
          <w:sz w:val="28"/>
          <w:szCs w:val="28"/>
          <w:shd w:fill="FFFFFF" w:val="clear"/>
        </w:rPr>
      </w:pPr>
      <w:r>
        <w:rPr>
          <w:b/>
          <w:sz w:val="28"/>
          <w:szCs w:val="28"/>
          <w:shd w:fill="FFFFFF" w:val="clear"/>
        </w:rPr>
      </w:r>
    </w:p>
    <w:p>
      <w:pPr>
        <w:pStyle w:val="Normal"/>
        <w:ind w:firstLine="709"/>
        <w:jc w:val="both"/>
        <w:rPr>
          <w:shd w:fill="FFFFFF" w:val="clear"/>
        </w:rPr>
      </w:pPr>
      <w:r>
        <w:rPr>
          <w:sz w:val="28"/>
          <w:szCs w:val="28"/>
          <w:shd w:fill="FFFFFF" w:val="clear"/>
        </w:rPr>
        <w:t xml:space="preserve">Доходы консолидированного бюджета Брянской области в 2020 году составили 85935,0 млн. рублей или 115,7 процента к уровню 2019 года. Общий объем налоговых платежей увеличился на 2,9 процента и составил 37261,0 млн. рублей. Безвозмездные поступления увеличились на 29,2 процента и составили 46485,7 млн. рублей. Субсидии из федерального бюджета увеличились на </w:t>
      </w:r>
      <w:r>
        <w:rPr>
          <w:rFonts w:eastAsia="Times New Roman" w:cs="Times New Roman"/>
          <w:color w:val="000000"/>
          <w:kern w:val="0"/>
          <w:sz w:val="28"/>
          <w:szCs w:val="28"/>
          <w:shd w:fill="FFFFFF" w:val="clear"/>
          <w:lang w:val="ru-RU" w:eastAsia="ru-RU" w:bidi="ar-SA"/>
        </w:rPr>
        <w:t>4,2</w:t>
      </w:r>
      <w:r>
        <w:rPr>
          <w:sz w:val="28"/>
          <w:szCs w:val="28"/>
          <w:shd w:fill="FFFFFF" w:val="clear"/>
        </w:rPr>
        <w:t xml:space="preserve"> процента к уровню 2019 года и составили </w:t>
      </w:r>
      <w:r>
        <w:rPr>
          <w:rFonts w:eastAsia="Times New Roman" w:cs="Times New Roman"/>
          <w:color w:val="000000"/>
          <w:kern w:val="0"/>
          <w:sz w:val="28"/>
          <w:szCs w:val="28"/>
          <w:shd w:fill="FFFFFF" w:val="clear"/>
          <w:lang w:val="ru-RU" w:eastAsia="ru-RU" w:bidi="ar-SA"/>
        </w:rPr>
        <w:t>6654,0</w:t>
      </w:r>
      <w:r>
        <w:rPr>
          <w:sz w:val="28"/>
          <w:szCs w:val="28"/>
          <w:shd w:fill="FFFFFF" w:val="clear"/>
        </w:rPr>
        <w:t xml:space="preserve"> млн. рублей, субвенции из федерального бюджета –  на </w:t>
      </w:r>
      <w:r>
        <w:rPr>
          <w:rFonts w:eastAsia="Times New Roman" w:cs="Times New Roman"/>
          <w:color w:val="000000"/>
          <w:kern w:val="0"/>
          <w:sz w:val="28"/>
          <w:szCs w:val="28"/>
          <w:shd w:fill="FFFFFF" w:val="clear"/>
          <w:lang w:val="ru-RU" w:eastAsia="ru-RU" w:bidi="ar-SA"/>
        </w:rPr>
        <w:t>1,4</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4906,7</w:t>
      </w:r>
      <w:r>
        <w:rPr>
          <w:sz w:val="28"/>
          <w:szCs w:val="28"/>
          <w:shd w:fill="FFFFFF" w:val="clear"/>
        </w:rPr>
        <w:t xml:space="preserve"> млн. рублей), дотации из федерального бюджета – на </w:t>
      </w:r>
      <w:r>
        <w:rPr>
          <w:rFonts w:eastAsia="Times New Roman" w:cs="Times New Roman"/>
          <w:color w:val="000000"/>
          <w:kern w:val="0"/>
          <w:sz w:val="28"/>
          <w:szCs w:val="28"/>
          <w:shd w:fill="FFFFFF" w:val="clear"/>
          <w:lang w:val="ru-RU" w:eastAsia="ru-RU" w:bidi="ar-SA"/>
        </w:rPr>
        <w:t>0,7</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14064,6</w:t>
      </w:r>
      <w:r>
        <w:rPr>
          <w:sz w:val="28"/>
          <w:szCs w:val="28"/>
          <w:shd w:fill="FFFFFF" w:val="clear"/>
        </w:rPr>
        <w:t xml:space="preserve"> млн. рублей).</w:t>
      </w:r>
    </w:p>
    <w:p>
      <w:pPr>
        <w:pStyle w:val="Normal"/>
        <w:ind w:firstLine="709"/>
        <w:jc w:val="both"/>
        <w:rPr>
          <w:shd w:fill="FFFFFF" w:val="clear"/>
        </w:rPr>
      </w:pPr>
      <w:r>
        <w:rPr>
          <w:sz w:val="28"/>
          <w:szCs w:val="28"/>
          <w:shd w:fill="FFFFFF" w:val="clear"/>
        </w:rPr>
        <w:t>Расходы консолидированного бюджета Брянской области в 2020 году составили 84746,0 млн. рублей, увеличились по сравнению с 2019 годом на 15,6 процента. Основной удельный вес в расходах занимали расходы на национальную экономику (</w:t>
      </w:r>
      <w:r>
        <w:rPr>
          <w:rFonts w:eastAsia="Times New Roman" w:cs="Times New Roman"/>
          <w:color w:val="000000"/>
          <w:kern w:val="0"/>
          <w:sz w:val="28"/>
          <w:szCs w:val="28"/>
          <w:shd w:fill="FFFFFF" w:val="clear"/>
          <w:lang w:val="ru-RU" w:eastAsia="ru-RU" w:bidi="ar-SA"/>
        </w:rPr>
        <w:t>26,7</w:t>
      </w:r>
      <w:r>
        <w:rPr>
          <w:sz w:val="28"/>
          <w:szCs w:val="28"/>
          <w:shd w:fill="FFFFFF" w:val="clear"/>
        </w:rPr>
        <w:t xml:space="preserve"> процента в общем объеме расходов). Их объем увеличился на 0,4 процента к уровню 2019 года и составил 22620,</w:t>
      </w:r>
      <w:r>
        <w:rPr>
          <w:rFonts w:eastAsia="Times New Roman" w:cs="Times New Roman"/>
          <w:color w:val="000000"/>
          <w:kern w:val="0"/>
          <w:sz w:val="28"/>
          <w:szCs w:val="28"/>
          <w:shd w:fill="FFFFFF" w:val="clear"/>
          <w:lang w:val="ru-RU" w:eastAsia="ru-RU" w:bidi="ar-SA"/>
        </w:rPr>
        <w:t>2</w:t>
      </w:r>
      <w:r>
        <w:rPr>
          <w:sz w:val="28"/>
          <w:szCs w:val="28"/>
          <w:shd w:fill="FFFFFF" w:val="clear"/>
        </w:rPr>
        <w:t xml:space="preserve"> млн. рублей. Расходы на социально-культурные мероприятия увеличились на 23,6 процента и составили 50915,7 млн. рублей, в том числе:</w:t>
      </w:r>
    </w:p>
    <w:p>
      <w:pPr>
        <w:pStyle w:val="Normal"/>
        <w:ind w:firstLine="709"/>
        <w:jc w:val="both"/>
        <w:rPr>
          <w:shd w:fill="FFFFFF" w:val="clear"/>
        </w:rPr>
      </w:pPr>
      <w:r>
        <w:rPr>
          <w:sz w:val="28"/>
          <w:szCs w:val="28"/>
          <w:shd w:fill="FFFFFF" w:val="clear"/>
        </w:rPr>
        <w:t>на образование – на 5,6 процента (19094,3 млн. рублей);</w:t>
      </w:r>
    </w:p>
    <w:p>
      <w:pPr>
        <w:pStyle w:val="Normal"/>
        <w:ind w:firstLine="709"/>
        <w:jc w:val="both"/>
        <w:rPr>
          <w:shd w:fill="FFFFFF" w:val="clear"/>
        </w:rPr>
      </w:pPr>
      <w:r>
        <w:rPr>
          <w:sz w:val="28"/>
          <w:szCs w:val="28"/>
          <w:shd w:fill="FFFFFF" w:val="clear"/>
        </w:rPr>
        <w:t>на здравоохранение – в 1,8 раза (9882,2 млн. рублей);</w:t>
      </w:r>
    </w:p>
    <w:p>
      <w:pPr>
        <w:pStyle w:val="Normal"/>
        <w:ind w:firstLine="709"/>
        <w:jc w:val="both"/>
        <w:rPr>
          <w:shd w:fill="FFFFFF" w:val="clear"/>
        </w:rPr>
      </w:pPr>
      <w:r>
        <w:rPr>
          <w:sz w:val="28"/>
          <w:szCs w:val="28"/>
          <w:shd w:fill="FFFFFF" w:val="clear"/>
        </w:rPr>
        <w:t>на социальную политику – на 29,1 процента (19587,4 млн. рублей);</w:t>
      </w:r>
    </w:p>
    <w:p>
      <w:pPr>
        <w:pStyle w:val="Normal"/>
        <w:ind w:firstLine="709"/>
        <w:jc w:val="both"/>
        <w:rPr>
          <w:shd w:fill="FFFFFF" w:val="clear"/>
        </w:rPr>
      </w:pPr>
      <w:r>
        <w:rPr>
          <w:sz w:val="28"/>
          <w:szCs w:val="28"/>
          <w:shd w:fill="FFFFFF" w:val="clear"/>
        </w:rPr>
        <w:t>на культуру, кинематографию – уменьшились на 1,9 процента (2351,8 млн. рублей).</w:t>
      </w:r>
    </w:p>
    <w:p>
      <w:pPr>
        <w:pStyle w:val="Normal"/>
        <w:ind w:firstLine="709"/>
        <w:jc w:val="both"/>
        <w:rPr>
          <w:shd w:fill="FFFFFF" w:val="clear"/>
        </w:rPr>
      </w:pPr>
      <w:r>
        <w:rPr>
          <w:sz w:val="28"/>
          <w:szCs w:val="28"/>
          <w:shd w:fill="FFFFFF" w:val="clear"/>
        </w:rPr>
        <w:t xml:space="preserve">По итогам 2020 года сложился профицит финансовых ресурсов в сумме 1189,0 млн. рублей. </w:t>
      </w:r>
    </w:p>
    <w:p>
      <w:pPr>
        <w:pStyle w:val="Normal"/>
        <w:ind w:firstLine="709"/>
        <w:jc w:val="both"/>
        <w:rPr>
          <w:shd w:fill="FFFFFF" w:val="clear"/>
        </w:rPr>
      </w:pPr>
      <w:r>
        <w:rPr>
          <w:sz w:val="28"/>
          <w:szCs w:val="28"/>
          <w:shd w:fill="FFFFFF" w:val="clear"/>
        </w:rPr>
        <w:t xml:space="preserve">Доходы консолидированного бюджета Брянской области в 2021 году оцениваются в сумме </w:t>
      </w:r>
      <w:r>
        <w:rPr>
          <w:rFonts w:eastAsia="Times New Roman" w:cs="Times New Roman"/>
          <w:color w:val="000000"/>
          <w:kern w:val="0"/>
          <w:sz w:val="28"/>
          <w:szCs w:val="28"/>
          <w:shd w:fill="FFFFFF" w:val="clear"/>
          <w:lang w:val="ru-RU" w:eastAsia="ru-RU" w:bidi="ar-SA"/>
        </w:rPr>
        <w:t>90612,5</w:t>
      </w:r>
      <w:r>
        <w:rPr>
          <w:sz w:val="28"/>
          <w:szCs w:val="28"/>
          <w:shd w:fill="FFFFFF" w:val="clear"/>
        </w:rPr>
        <w:t xml:space="preserve"> млн. рублей или </w:t>
      </w:r>
      <w:r>
        <w:rPr>
          <w:rFonts w:eastAsia="Times New Roman" w:cs="Times New Roman"/>
          <w:color w:val="000000"/>
          <w:kern w:val="0"/>
          <w:sz w:val="28"/>
          <w:szCs w:val="28"/>
          <w:shd w:fill="FFFFFF" w:val="clear"/>
          <w:lang w:val="ru-RU" w:eastAsia="ru-RU" w:bidi="ar-SA"/>
        </w:rPr>
        <w:t xml:space="preserve">105,4 </w:t>
      </w:r>
      <w:r>
        <w:rPr>
          <w:sz w:val="28"/>
          <w:szCs w:val="28"/>
          <w:shd w:fill="FFFFFF" w:val="clear"/>
        </w:rPr>
        <w:t xml:space="preserve">процента к уровню 2020 года. Общий объем налоговых доходов составит </w:t>
      </w:r>
      <w:r>
        <w:rPr>
          <w:rFonts w:eastAsia="Times New Roman" w:cs="Times New Roman"/>
          <w:color w:val="000000"/>
          <w:kern w:val="0"/>
          <w:sz w:val="28"/>
          <w:szCs w:val="28"/>
          <w:shd w:fill="FFFFFF" w:val="clear"/>
          <w:lang w:val="ru-RU" w:eastAsia="ru-RU" w:bidi="ar-SA"/>
        </w:rPr>
        <w:t>43191,3</w:t>
      </w:r>
      <w:r>
        <w:rPr>
          <w:sz w:val="28"/>
          <w:szCs w:val="28"/>
          <w:shd w:fill="FFFFFF" w:val="clear"/>
        </w:rPr>
        <w:t xml:space="preserve"> млн. рублей, увеличившись на </w:t>
      </w:r>
      <w:r>
        <w:rPr>
          <w:rFonts w:eastAsia="Times New Roman" w:cs="Times New Roman"/>
          <w:color w:val="000000"/>
          <w:kern w:val="0"/>
          <w:sz w:val="28"/>
          <w:szCs w:val="28"/>
          <w:shd w:fill="FFFFFF" w:val="clear"/>
          <w:lang w:val="ru-RU" w:eastAsia="ru-RU" w:bidi="ar-SA"/>
        </w:rPr>
        <w:t>15,9</w:t>
      </w:r>
      <w:r>
        <w:rPr>
          <w:sz w:val="28"/>
          <w:szCs w:val="28"/>
          <w:shd w:fill="FFFFFF" w:val="clear"/>
        </w:rPr>
        <w:t xml:space="preserve"> процента к уровню 2020 года. Безвозмездные поступления уменьшаться на </w:t>
      </w:r>
      <w:r>
        <w:rPr>
          <w:rFonts w:eastAsia="Times New Roman" w:cs="Times New Roman"/>
          <w:color w:val="000000"/>
          <w:kern w:val="0"/>
          <w:sz w:val="28"/>
          <w:szCs w:val="28"/>
          <w:shd w:fill="FFFFFF" w:val="clear"/>
          <w:lang w:val="ru-RU" w:eastAsia="ru-RU" w:bidi="ar-SA"/>
        </w:rPr>
        <w:t>3,0</w:t>
      </w:r>
      <w:r>
        <w:rPr>
          <w:sz w:val="28"/>
          <w:szCs w:val="28"/>
          <w:shd w:fill="FFFFFF" w:val="clear"/>
        </w:rPr>
        <w:t xml:space="preserve"> процента к уровню 2020 года и составят </w:t>
      </w:r>
      <w:r>
        <w:rPr>
          <w:rFonts w:eastAsia="Times New Roman" w:cs="Times New Roman"/>
          <w:color w:val="000000"/>
          <w:kern w:val="0"/>
          <w:sz w:val="28"/>
          <w:szCs w:val="28"/>
          <w:shd w:fill="FFFFFF" w:val="clear"/>
          <w:lang w:val="ru-RU" w:eastAsia="ru-RU" w:bidi="ar-SA"/>
        </w:rPr>
        <w:t>45105,4</w:t>
      </w:r>
      <w:r>
        <w:rPr>
          <w:sz w:val="28"/>
          <w:szCs w:val="28"/>
          <w:shd w:fill="FFFFFF" w:val="clear"/>
        </w:rPr>
        <w:t xml:space="preserve"> млн. рублей. Уменьшение объема безвозмездных поступлений обусловлено сокращением поступлений иных межбюджетных трансфертов из резервного фонда Правительства Российской Федерации (в 2020 году существенный объем иных межбюджетных трансфертов был направлен на   реализацию мер, связанных с профилактикой и </w:t>
      </w:r>
      <w:r>
        <w:rPr>
          <w:rFonts w:eastAsia="Times New Roman" w:cs="Times New Roman"/>
          <w:color w:val="000000"/>
          <w:kern w:val="0"/>
          <w:sz w:val="28"/>
          <w:szCs w:val="28"/>
          <w:shd w:fill="FFFFFF" w:val="clear"/>
          <w:lang w:val="ru-RU" w:eastAsia="ru-RU" w:bidi="ar-SA"/>
        </w:rPr>
        <w:t xml:space="preserve">устранением последствий распространения </w:t>
      </w:r>
      <w:r>
        <w:rPr>
          <w:sz w:val="28"/>
          <w:szCs w:val="28"/>
          <w:shd w:fill="FFFFFF" w:val="clear"/>
        </w:rPr>
        <w:t xml:space="preserve">новой коронавирусной инфекции). Субсидии из федерального бюджета увеличатся </w:t>
      </w:r>
      <w:r>
        <w:rPr>
          <w:rFonts w:eastAsia="Times New Roman" w:cs="Times New Roman"/>
          <w:color w:val="000000"/>
          <w:kern w:val="0"/>
          <w:sz w:val="28"/>
          <w:szCs w:val="28"/>
          <w:shd w:fill="FFFFFF" w:val="clear"/>
          <w:lang w:val="ru-RU" w:eastAsia="ru-RU" w:bidi="ar-SA"/>
        </w:rPr>
        <w:t>в 1,6 раза</w:t>
      </w:r>
      <w:r>
        <w:rPr>
          <w:sz w:val="28"/>
          <w:szCs w:val="28"/>
          <w:shd w:fill="FFFFFF" w:val="clear"/>
        </w:rPr>
        <w:t xml:space="preserve"> к уровню 2020 года и составят </w:t>
      </w:r>
      <w:r>
        <w:rPr>
          <w:rFonts w:eastAsia="Times New Roman" w:cs="Times New Roman"/>
          <w:color w:val="000000"/>
          <w:kern w:val="0"/>
          <w:sz w:val="28"/>
          <w:szCs w:val="28"/>
          <w:shd w:fill="FFFFFF" w:val="clear"/>
          <w:lang w:val="ru-RU" w:eastAsia="ru-RU" w:bidi="ar-SA"/>
        </w:rPr>
        <w:t>10904,4</w:t>
      </w:r>
      <w:r>
        <w:rPr>
          <w:sz w:val="28"/>
          <w:szCs w:val="28"/>
          <w:shd w:fill="FFFFFF" w:val="clear"/>
        </w:rPr>
        <w:t xml:space="preserve"> млн. рублей, субвенции из федерального бюджета - на </w:t>
      </w:r>
      <w:r>
        <w:rPr>
          <w:rFonts w:eastAsia="Times New Roman" w:cs="Times New Roman"/>
          <w:color w:val="000000"/>
          <w:kern w:val="0"/>
          <w:sz w:val="28"/>
          <w:szCs w:val="28"/>
          <w:shd w:fill="FFFFFF" w:val="clear"/>
          <w:lang w:val="ru-RU" w:eastAsia="ru-RU" w:bidi="ar-SA"/>
        </w:rPr>
        <w:t>21,7</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5970,2</w:t>
      </w:r>
      <w:r>
        <w:rPr>
          <w:sz w:val="28"/>
          <w:szCs w:val="28"/>
          <w:shd w:fill="FFFFFF" w:val="clear"/>
        </w:rPr>
        <w:t xml:space="preserve"> млн. рублей), дотации из федерального бюджета - на </w:t>
      </w:r>
      <w:r>
        <w:rPr>
          <w:rFonts w:eastAsia="Times New Roman" w:cs="Times New Roman"/>
          <w:color w:val="000000"/>
          <w:kern w:val="0"/>
          <w:sz w:val="28"/>
          <w:szCs w:val="28"/>
          <w:shd w:fill="FFFFFF" w:val="clear"/>
          <w:lang w:val="ru-RU" w:eastAsia="ru-RU" w:bidi="ar-SA"/>
        </w:rPr>
        <w:t>6,6</w:t>
      </w:r>
      <w:r>
        <w:rPr>
          <w:sz w:val="28"/>
          <w:szCs w:val="28"/>
          <w:shd w:fill="FFFFFF" w:val="clear"/>
        </w:rPr>
        <w:t xml:space="preserve"> процента (15002,7 млн. рублей).</w:t>
      </w:r>
    </w:p>
    <w:p>
      <w:pPr>
        <w:pStyle w:val="Normal"/>
        <w:ind w:firstLine="709"/>
        <w:jc w:val="both"/>
        <w:rPr>
          <w:shd w:fill="FFFFFF" w:val="clear"/>
        </w:rPr>
      </w:pPr>
      <w:r>
        <w:rPr>
          <w:sz w:val="28"/>
          <w:szCs w:val="28"/>
          <w:shd w:fill="FFFFFF" w:val="clear"/>
        </w:rPr>
        <w:t xml:space="preserve">Общий объем расходов в 2021 году оценивается в сумме </w:t>
      </w:r>
      <w:r>
        <w:rPr>
          <w:rFonts w:eastAsia="Times New Roman" w:cs="Times New Roman"/>
          <w:color w:val="000000"/>
          <w:kern w:val="0"/>
          <w:sz w:val="28"/>
          <w:szCs w:val="28"/>
          <w:shd w:fill="FFFFFF" w:val="clear"/>
          <w:lang w:val="ru-RU" w:eastAsia="ru-RU" w:bidi="ar-SA"/>
        </w:rPr>
        <w:t>89607,7</w:t>
      </w:r>
      <w:r>
        <w:rPr>
          <w:sz w:val="28"/>
          <w:szCs w:val="28"/>
          <w:shd w:fill="FFFFFF" w:val="clear"/>
        </w:rPr>
        <w:t xml:space="preserve"> млн. рублей или </w:t>
      </w:r>
      <w:r>
        <w:rPr>
          <w:rFonts w:eastAsia="Times New Roman" w:cs="Times New Roman"/>
          <w:color w:val="000000"/>
          <w:kern w:val="0"/>
          <w:sz w:val="28"/>
          <w:szCs w:val="28"/>
          <w:shd w:fill="FFFFFF" w:val="clear"/>
          <w:lang w:val="ru-RU" w:eastAsia="ru-RU" w:bidi="ar-SA"/>
        </w:rPr>
        <w:t>105,7</w:t>
      </w:r>
      <w:r>
        <w:rPr>
          <w:sz w:val="28"/>
          <w:szCs w:val="28"/>
          <w:shd w:fill="FFFFFF" w:val="clear"/>
        </w:rPr>
        <w:t xml:space="preserve"> процента к уровню 2020 года. Увеличение объема расходов обусловлено увеличением объема собственных доходов (налоговых и неналоговых доходов) консолидированного бюджета, а также осуществлением расходов на счет остатков средств на счетах по состоянию на 1 января 2021 года.</w:t>
      </w:r>
    </w:p>
    <w:p>
      <w:pPr>
        <w:pStyle w:val="Normal"/>
        <w:ind w:firstLine="709"/>
        <w:jc w:val="both"/>
        <w:rPr>
          <w:shd w:fill="FFFFFF" w:val="clear"/>
        </w:rPr>
      </w:pPr>
      <w:r>
        <w:rPr>
          <w:sz w:val="28"/>
          <w:szCs w:val="28"/>
          <w:shd w:fill="FFFFFF" w:val="clear"/>
        </w:rPr>
        <w:t xml:space="preserve">Расходы на социально-культурные мероприятия увеличатся на </w:t>
      </w:r>
      <w:r>
        <w:rPr>
          <w:rFonts w:eastAsia="Times New Roman" w:cs="Times New Roman"/>
          <w:color w:val="000000"/>
          <w:kern w:val="0"/>
          <w:sz w:val="28"/>
          <w:szCs w:val="28"/>
          <w:shd w:fill="FFFFFF" w:val="clear"/>
          <w:lang w:val="ru-RU" w:eastAsia="ru-RU" w:bidi="ar-SA"/>
        </w:rPr>
        <w:t>6,7</w:t>
      </w:r>
      <w:r>
        <w:rPr>
          <w:sz w:val="28"/>
          <w:szCs w:val="28"/>
          <w:shd w:fill="FFFFFF" w:val="clear"/>
        </w:rPr>
        <w:t xml:space="preserve"> процента и составят </w:t>
      </w:r>
      <w:r>
        <w:rPr>
          <w:rFonts w:eastAsia="Times New Roman" w:cs="Times New Roman"/>
          <w:color w:val="000000"/>
          <w:kern w:val="0"/>
          <w:sz w:val="28"/>
          <w:szCs w:val="28"/>
          <w:shd w:fill="FFFFFF" w:val="clear"/>
          <w:lang w:val="ru-RU" w:eastAsia="ru-RU" w:bidi="ar-SA"/>
        </w:rPr>
        <w:t>54339,5</w:t>
      </w:r>
      <w:r>
        <w:rPr>
          <w:sz w:val="28"/>
          <w:szCs w:val="28"/>
          <w:shd w:fill="FFFFFF" w:val="clear"/>
        </w:rPr>
        <w:t xml:space="preserve"> млн. рублей, в том числе:</w:t>
      </w:r>
    </w:p>
    <w:p>
      <w:pPr>
        <w:pStyle w:val="Normal"/>
        <w:ind w:firstLine="709"/>
        <w:jc w:val="both"/>
        <w:rPr>
          <w:shd w:fill="FFFFFF" w:val="clear"/>
        </w:rPr>
      </w:pPr>
      <w:r>
        <w:rPr>
          <w:sz w:val="28"/>
          <w:szCs w:val="28"/>
          <w:shd w:fill="FFFFFF" w:val="clear"/>
        </w:rPr>
        <w:t xml:space="preserve">на социальную политику – на </w:t>
      </w:r>
      <w:r>
        <w:rPr>
          <w:rFonts w:eastAsia="Times New Roman" w:cs="Times New Roman"/>
          <w:color w:val="000000"/>
          <w:kern w:val="0"/>
          <w:sz w:val="28"/>
          <w:szCs w:val="28"/>
          <w:shd w:fill="FFFFFF" w:val="clear"/>
          <w:lang w:val="ru-RU" w:eastAsia="ru-RU" w:bidi="ar-SA"/>
        </w:rPr>
        <w:t>6,0</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20765,3</w:t>
      </w:r>
      <w:r>
        <w:rPr>
          <w:sz w:val="28"/>
          <w:szCs w:val="28"/>
          <w:shd w:fill="FFFFFF" w:val="clear"/>
        </w:rPr>
        <w:t xml:space="preserve"> млн. рублей), </w:t>
      </w:r>
    </w:p>
    <w:p>
      <w:pPr>
        <w:pStyle w:val="Normal"/>
        <w:ind w:firstLine="709"/>
        <w:jc w:val="both"/>
        <w:rPr>
          <w:shd w:fill="FFFFFF" w:val="clear"/>
        </w:rPr>
      </w:pPr>
      <w:r>
        <w:rPr>
          <w:sz w:val="28"/>
          <w:szCs w:val="28"/>
          <w:shd w:fill="FFFFFF" w:val="clear"/>
        </w:rPr>
        <w:t xml:space="preserve">на образование – на </w:t>
      </w:r>
      <w:r>
        <w:rPr>
          <w:rFonts w:eastAsia="Times New Roman" w:cs="Times New Roman"/>
          <w:color w:val="000000"/>
          <w:kern w:val="0"/>
          <w:sz w:val="28"/>
          <w:szCs w:val="28"/>
          <w:shd w:fill="FFFFFF" w:val="clear"/>
          <w:lang w:val="ru-RU" w:eastAsia="ru-RU" w:bidi="ar-SA"/>
        </w:rPr>
        <w:t>14,3</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 xml:space="preserve">21832,0 </w:t>
      </w:r>
      <w:r>
        <w:rPr>
          <w:sz w:val="28"/>
          <w:szCs w:val="28"/>
          <w:shd w:fill="FFFFFF" w:val="clear"/>
        </w:rPr>
        <w:t>млн. рублей);</w:t>
      </w:r>
    </w:p>
    <w:p>
      <w:pPr>
        <w:pStyle w:val="Normal"/>
        <w:ind w:firstLine="709"/>
        <w:jc w:val="both"/>
        <w:rPr>
          <w:shd w:fill="FFFFFF" w:val="clear"/>
        </w:rPr>
      </w:pPr>
      <w:r>
        <w:rPr>
          <w:sz w:val="28"/>
          <w:szCs w:val="28"/>
          <w:shd w:fill="FFFFFF" w:val="clear"/>
        </w:rPr>
        <w:t xml:space="preserve">на культуру, кинематографию – на </w:t>
      </w:r>
      <w:r>
        <w:rPr>
          <w:rFonts w:eastAsia="Times New Roman" w:cs="Times New Roman"/>
          <w:color w:val="000000"/>
          <w:kern w:val="0"/>
          <w:sz w:val="28"/>
          <w:szCs w:val="28"/>
          <w:shd w:fill="FFFFFF" w:val="clear"/>
          <w:lang w:val="ru-RU" w:eastAsia="ru-RU" w:bidi="ar-SA"/>
        </w:rPr>
        <w:t>2,3</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2405,7</w:t>
      </w:r>
      <w:r>
        <w:rPr>
          <w:sz w:val="28"/>
          <w:szCs w:val="28"/>
          <w:shd w:fill="FFFFFF" w:val="clear"/>
        </w:rPr>
        <w:t xml:space="preserve"> млн. рублей);</w:t>
      </w:r>
    </w:p>
    <w:p>
      <w:pPr>
        <w:pStyle w:val="Normal"/>
        <w:ind w:firstLine="709"/>
        <w:jc w:val="both"/>
        <w:rPr>
          <w:shd w:fill="FFFFFF" w:val="clear"/>
        </w:rPr>
      </w:pPr>
      <w:r>
        <w:rPr>
          <w:sz w:val="28"/>
          <w:szCs w:val="28"/>
          <w:shd w:fill="FFFFFF" w:val="clear"/>
        </w:rPr>
        <w:t xml:space="preserve">на здравоохранение — уменьшаться на </w:t>
      </w:r>
      <w:r>
        <w:rPr>
          <w:rFonts w:eastAsia="Times New Roman" w:cs="Times New Roman"/>
          <w:color w:val="000000"/>
          <w:kern w:val="0"/>
          <w:sz w:val="28"/>
          <w:szCs w:val="28"/>
          <w:shd w:fill="FFFFFF" w:val="clear"/>
          <w:lang w:val="ru-RU" w:eastAsia="ru-RU" w:bidi="ar-SA"/>
        </w:rPr>
        <w:t>5,5</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9336,5</w:t>
      </w:r>
      <w:r>
        <w:rPr>
          <w:sz w:val="28"/>
          <w:szCs w:val="28"/>
          <w:shd w:fill="FFFFFF" w:val="clear"/>
        </w:rPr>
        <w:t xml:space="preserve"> млн. рублей).</w:t>
      </w:r>
    </w:p>
    <w:p>
      <w:pPr>
        <w:pStyle w:val="Normal"/>
        <w:ind w:firstLine="709"/>
        <w:jc w:val="both"/>
        <w:rPr>
          <w:shd w:fill="FFFFFF" w:val="clear"/>
        </w:rPr>
      </w:pPr>
      <w:r>
        <w:rPr>
          <w:sz w:val="28"/>
          <w:szCs w:val="28"/>
          <w:shd w:fill="FFFFFF" w:val="clear"/>
        </w:rPr>
        <w:t xml:space="preserve">По итогам 2021 года ожидается </w:t>
      </w:r>
      <w:r>
        <w:rPr>
          <w:rFonts w:eastAsia="Times New Roman" w:cs="Times New Roman"/>
          <w:color w:val="000000"/>
          <w:kern w:val="0"/>
          <w:sz w:val="28"/>
          <w:szCs w:val="28"/>
          <w:shd w:fill="FFFFFF" w:val="clear"/>
          <w:lang w:val="ru-RU" w:eastAsia="ru-RU" w:bidi="ar-SA"/>
        </w:rPr>
        <w:t>профицит</w:t>
      </w:r>
      <w:r>
        <w:rPr>
          <w:sz w:val="28"/>
          <w:szCs w:val="28"/>
          <w:shd w:fill="FFFFFF" w:val="clear"/>
        </w:rPr>
        <w:t xml:space="preserve"> бюджета в объеме </w:t>
      </w:r>
      <w:r>
        <w:rPr>
          <w:rFonts w:eastAsia="Times New Roman" w:cs="Times New Roman"/>
          <w:color w:val="000000"/>
          <w:kern w:val="0"/>
          <w:sz w:val="28"/>
          <w:szCs w:val="28"/>
          <w:shd w:fill="FFFFFF" w:val="clear"/>
          <w:lang w:val="ru-RU" w:eastAsia="ru-RU" w:bidi="ar-SA"/>
        </w:rPr>
        <w:t>1004,8</w:t>
      </w:r>
      <w:r>
        <w:rPr>
          <w:sz w:val="28"/>
          <w:szCs w:val="28"/>
          <w:shd w:fill="FFFFFF" w:val="clear"/>
        </w:rPr>
        <w:t xml:space="preserve"> млн. рублей.</w:t>
      </w:r>
    </w:p>
    <w:p>
      <w:pPr>
        <w:pStyle w:val="Normal"/>
        <w:ind w:firstLine="709"/>
        <w:jc w:val="both"/>
        <w:rPr>
          <w:shd w:fill="FFFFFF" w:val="clear"/>
        </w:rPr>
      </w:pPr>
      <w:r>
        <w:rPr>
          <w:sz w:val="28"/>
          <w:szCs w:val="28"/>
          <w:shd w:fill="FFFFFF" w:val="clear"/>
        </w:rPr>
        <w:t xml:space="preserve">Государственный внутренний долг Брянской области по состоянию  ожидается в  </w:t>
      </w:r>
      <w:r>
        <w:rPr>
          <w:rFonts w:eastAsia="Times New Roman" w:cs="Times New Roman"/>
          <w:color w:val="000000"/>
          <w:kern w:val="0"/>
          <w:sz w:val="28"/>
          <w:szCs w:val="28"/>
          <w:shd w:fill="FFFFFF" w:val="clear"/>
          <w:lang w:val="ru-RU" w:eastAsia="ru-RU" w:bidi="ar-SA"/>
        </w:rPr>
        <w:t>7740,2</w:t>
      </w:r>
      <w:r>
        <w:rPr>
          <w:sz w:val="28"/>
          <w:szCs w:val="28"/>
          <w:shd w:fill="FFFFFF" w:val="clear"/>
        </w:rPr>
        <w:t xml:space="preserve"> млн. рублей.</w:t>
      </w:r>
    </w:p>
    <w:p>
      <w:pPr>
        <w:pStyle w:val="Normal"/>
        <w:ind w:firstLine="709"/>
        <w:jc w:val="both"/>
        <w:rPr>
          <w:shd w:fill="FFFFFF" w:val="clear"/>
        </w:rPr>
      </w:pPr>
      <w:r>
        <w:rPr>
          <w:sz w:val="28"/>
          <w:szCs w:val="28"/>
          <w:shd w:fill="FFFFFF" w:val="clear"/>
        </w:rPr>
        <w:t xml:space="preserve">Доходы консолидированного бюджета области на 2022 год определены в сумме </w:t>
      </w:r>
      <w:r>
        <w:rPr>
          <w:rFonts w:eastAsia="Times New Roman" w:cs="Times New Roman"/>
          <w:color w:val="000000"/>
          <w:kern w:val="0"/>
          <w:sz w:val="28"/>
          <w:szCs w:val="28"/>
          <w:shd w:fill="FFFFFF" w:val="clear"/>
          <w:lang w:val="ru-RU" w:eastAsia="ru-RU" w:bidi="ar-SA"/>
        </w:rPr>
        <w:t>92803,8</w:t>
      </w:r>
      <w:r>
        <w:rPr>
          <w:sz w:val="28"/>
          <w:szCs w:val="28"/>
          <w:shd w:fill="FFFFFF" w:val="clear"/>
        </w:rPr>
        <w:t xml:space="preserve"> млн. рублей, что на </w:t>
      </w:r>
      <w:r>
        <w:rPr>
          <w:rFonts w:eastAsia="Times New Roman" w:cs="Times New Roman"/>
          <w:color w:val="000000"/>
          <w:kern w:val="0"/>
          <w:sz w:val="28"/>
          <w:szCs w:val="28"/>
          <w:shd w:fill="FFFFFF" w:val="clear"/>
          <w:lang w:val="ru-RU" w:eastAsia="ru-RU" w:bidi="ar-SA"/>
        </w:rPr>
        <w:t>2,4</w:t>
      </w:r>
      <w:r>
        <w:rPr>
          <w:sz w:val="28"/>
          <w:szCs w:val="28"/>
          <w:shd w:fill="FFFFFF" w:val="clear"/>
        </w:rPr>
        <w:t xml:space="preserve"> процента больше оценки 2021 года. Налоговые доходы прогнозируются в сумме </w:t>
      </w:r>
      <w:r>
        <w:rPr>
          <w:rFonts w:eastAsia="Times New Roman" w:cs="Times New Roman"/>
          <w:color w:val="000000"/>
          <w:kern w:val="0"/>
          <w:sz w:val="28"/>
          <w:szCs w:val="28"/>
          <w:shd w:fill="FFFFFF" w:val="clear"/>
          <w:lang w:val="ru-RU" w:eastAsia="ru-RU" w:bidi="ar-SA"/>
        </w:rPr>
        <w:t>45813,0</w:t>
      </w:r>
      <w:r>
        <w:rPr>
          <w:sz w:val="28"/>
          <w:szCs w:val="28"/>
          <w:shd w:fill="FFFFFF" w:val="clear"/>
        </w:rPr>
        <w:t xml:space="preserve"> млн. рублей, что на </w:t>
      </w:r>
      <w:r>
        <w:rPr>
          <w:rFonts w:eastAsia="Times New Roman" w:cs="Times New Roman"/>
          <w:color w:val="000000"/>
          <w:kern w:val="0"/>
          <w:sz w:val="28"/>
          <w:szCs w:val="28"/>
          <w:shd w:fill="FFFFFF" w:val="clear"/>
          <w:lang w:val="ru-RU" w:eastAsia="ru-RU" w:bidi="ar-SA"/>
        </w:rPr>
        <w:t>6,1</w:t>
      </w:r>
      <w:r>
        <w:rPr>
          <w:sz w:val="28"/>
          <w:szCs w:val="28"/>
          <w:shd w:fill="FFFFFF" w:val="clear"/>
        </w:rPr>
        <w:t xml:space="preserve"> процента больше уровня 2021 года. Безвозмездные поступления из федерального бюджета прогнозируются в объеме </w:t>
      </w:r>
      <w:r>
        <w:rPr>
          <w:rFonts w:eastAsia="Times New Roman" w:cs="Times New Roman"/>
          <w:color w:val="000000"/>
          <w:kern w:val="0"/>
          <w:sz w:val="28"/>
          <w:szCs w:val="28"/>
          <w:shd w:fill="FFFFFF" w:val="clear"/>
          <w:lang w:val="ru-RU" w:eastAsia="ru-RU" w:bidi="ar-SA"/>
        </w:rPr>
        <w:t>45155,7</w:t>
      </w:r>
      <w:r>
        <w:rPr>
          <w:sz w:val="28"/>
          <w:szCs w:val="28"/>
          <w:shd w:fill="FFFFFF" w:val="clear"/>
        </w:rPr>
        <w:t xml:space="preserve"> млн. рублей или </w:t>
      </w:r>
      <w:r>
        <w:rPr>
          <w:rFonts w:eastAsia="Times New Roman" w:cs="Times New Roman"/>
          <w:color w:val="000000"/>
          <w:kern w:val="0"/>
          <w:sz w:val="28"/>
          <w:szCs w:val="28"/>
          <w:shd w:fill="FFFFFF" w:val="clear"/>
          <w:lang w:val="ru-RU" w:eastAsia="ru-RU" w:bidi="ar-SA"/>
        </w:rPr>
        <w:t>100,1</w:t>
      </w:r>
      <w:r>
        <w:rPr>
          <w:sz w:val="28"/>
          <w:szCs w:val="28"/>
          <w:shd w:fill="FFFFFF" w:val="clear"/>
        </w:rPr>
        <w:t xml:space="preserve"> процента к уровню 2021 года. Ожидаемое уменьшение поступления субвенций (в связи с передачей полномочий по предоставлению мер социальной поддержки граждан, подвергшихся воздействию радиации, а также иных отдельных мер поддержки в Пенсионный фонд </w:t>
      </w:r>
      <w:r>
        <w:rPr>
          <w:rFonts w:eastAsia="Times New Roman" w:cs="Times New Roman"/>
          <w:color w:val="000000"/>
          <w:kern w:val="0"/>
          <w:sz w:val="28"/>
          <w:szCs w:val="28"/>
          <w:shd w:fill="FFFFFF" w:val="clear"/>
          <w:lang w:val="ru-RU" w:eastAsia="ru-RU" w:bidi="ar-SA"/>
        </w:rPr>
        <w:t>Российской Федерации</w:t>
      </w:r>
      <w:r>
        <w:rPr>
          <w:sz w:val="28"/>
          <w:szCs w:val="28"/>
          <w:shd w:fill="FFFFFF" w:val="clear"/>
        </w:rPr>
        <w:t>) нивелируется ожидаемым увеличением поступления субсидий и иных межбюджетных трансфертов.</w:t>
      </w:r>
    </w:p>
    <w:p>
      <w:pPr>
        <w:pStyle w:val="Normal"/>
        <w:ind w:firstLine="709"/>
        <w:jc w:val="both"/>
        <w:rPr>
          <w:shd w:fill="FFFFFF" w:val="clear"/>
        </w:rPr>
      </w:pPr>
      <w:r>
        <w:rPr>
          <w:sz w:val="28"/>
          <w:szCs w:val="28"/>
          <w:shd w:fill="FFFFFF" w:val="clear"/>
        </w:rPr>
        <w:t>Расходы консолидированного бюджета области в 2022 году определены с учетом безусловного исполнения социальных обязательств. При формировании прогноза учтены поступления из федерального бюджета в соответствии с проектом федерального закона о федеральном бюджете на 2022 год и плановый период 2023 и 2024 годов, а также ожидаемые суммы дополнительных поступлений межбюджетных трансфертов в течение 2022 – 2024 годов.</w:t>
      </w:r>
    </w:p>
    <w:p>
      <w:pPr>
        <w:pStyle w:val="Normal"/>
        <w:ind w:firstLine="709"/>
        <w:jc w:val="both"/>
        <w:rPr>
          <w:shd w:fill="FFFFFF" w:val="clear"/>
        </w:rPr>
      </w:pPr>
      <w:r>
        <w:rPr>
          <w:sz w:val="28"/>
          <w:szCs w:val="28"/>
          <w:shd w:fill="FFFFFF" w:val="clear"/>
        </w:rPr>
        <w:t xml:space="preserve">Объем расходов консолидированного бюджета области в 2022 году определен в сумме </w:t>
      </w:r>
      <w:r>
        <w:rPr>
          <w:rFonts w:eastAsia="Times New Roman" w:cs="Times New Roman"/>
          <w:color w:val="000000"/>
          <w:kern w:val="0"/>
          <w:sz w:val="28"/>
          <w:szCs w:val="28"/>
          <w:shd w:fill="FFFFFF" w:val="clear"/>
          <w:lang w:val="ru-RU" w:eastAsia="ru-RU" w:bidi="ar-SA"/>
        </w:rPr>
        <w:t>94237,1</w:t>
      </w:r>
      <w:r>
        <w:rPr>
          <w:sz w:val="28"/>
          <w:szCs w:val="28"/>
          <w:shd w:fill="FFFFFF" w:val="clear"/>
        </w:rPr>
        <w:t xml:space="preserve"> млн. рублей, что на 5,2 процента больше, чем в 2021 году. Бюджет Брянской области, как и в предыдущие годы, будет носить социальный характер. Доля социально значимых расходов консолидированного бюджета в 2022 году составит </w:t>
      </w:r>
      <w:r>
        <w:rPr>
          <w:rFonts w:eastAsia="Times New Roman" w:cs="Times New Roman"/>
          <w:color w:val="000000"/>
          <w:kern w:val="0"/>
          <w:sz w:val="28"/>
          <w:szCs w:val="28"/>
          <w:shd w:fill="FFFFFF" w:val="clear"/>
          <w:lang w:val="ru-RU" w:eastAsia="ru-RU" w:bidi="ar-SA"/>
        </w:rPr>
        <w:t>62,1</w:t>
      </w:r>
      <w:r>
        <w:rPr>
          <w:sz w:val="28"/>
          <w:szCs w:val="28"/>
          <w:shd w:fill="FFFFFF" w:val="clear"/>
        </w:rPr>
        <w:t xml:space="preserve"> процента. Существенных изменений в структуре расходов не планируется: наибольшую долю в расходах бюджета будут занимать расходы на национальную экономику, социальную политику (включая расходы на обязательное медицинское страхование неработающего населения), образование, здравоохранение.</w:t>
      </w:r>
    </w:p>
    <w:p>
      <w:pPr>
        <w:pStyle w:val="Normal"/>
        <w:ind w:firstLine="709"/>
        <w:jc w:val="both"/>
        <w:rPr>
          <w:shd w:fill="FFFFFF" w:val="clear"/>
        </w:rPr>
      </w:pPr>
      <w:r>
        <w:rPr>
          <w:sz w:val="28"/>
          <w:szCs w:val="28"/>
          <w:shd w:fill="FFFFFF" w:val="clear"/>
        </w:rPr>
        <w:t xml:space="preserve">Расходы на социально-культурные мероприятия увеличатся на </w:t>
      </w:r>
      <w:r>
        <w:rPr>
          <w:rFonts w:eastAsia="Times New Roman" w:cs="Times New Roman"/>
          <w:color w:val="000000"/>
          <w:kern w:val="0"/>
          <w:sz w:val="28"/>
          <w:szCs w:val="28"/>
          <w:shd w:fill="FFFFFF" w:val="clear"/>
          <w:lang w:val="ru-RU" w:eastAsia="ru-RU" w:bidi="ar-SA"/>
        </w:rPr>
        <w:t>0,6</w:t>
      </w:r>
      <w:r>
        <w:rPr>
          <w:sz w:val="28"/>
          <w:szCs w:val="28"/>
          <w:shd w:fill="FFFFFF" w:val="clear"/>
        </w:rPr>
        <w:t xml:space="preserve"> процента и составят </w:t>
      </w:r>
      <w:r>
        <w:rPr>
          <w:rFonts w:eastAsia="Times New Roman" w:cs="Times New Roman"/>
          <w:color w:val="000000"/>
          <w:kern w:val="0"/>
          <w:sz w:val="28"/>
          <w:szCs w:val="28"/>
          <w:shd w:fill="FFFFFF" w:val="clear"/>
          <w:lang w:val="ru-RU" w:eastAsia="ru-RU" w:bidi="ar-SA"/>
        </w:rPr>
        <w:t>54685,8</w:t>
      </w:r>
      <w:r>
        <w:rPr>
          <w:sz w:val="28"/>
          <w:szCs w:val="28"/>
          <w:shd w:fill="FFFFFF" w:val="clear"/>
        </w:rPr>
        <w:t xml:space="preserve"> млн. рублей, в том числе:</w:t>
      </w:r>
    </w:p>
    <w:p>
      <w:pPr>
        <w:pStyle w:val="Normal"/>
        <w:ind w:firstLine="709"/>
        <w:jc w:val="both"/>
        <w:rPr>
          <w:shd w:fill="FFFFFF" w:val="clear"/>
        </w:rPr>
      </w:pPr>
      <w:r>
        <w:rPr>
          <w:sz w:val="28"/>
          <w:szCs w:val="28"/>
          <w:shd w:fill="FFFFFF" w:val="clear"/>
        </w:rPr>
        <w:t>на образование – на 1,6 процента (</w:t>
      </w:r>
      <w:r>
        <w:rPr>
          <w:rFonts w:eastAsia="Times New Roman" w:cs="Times New Roman"/>
          <w:color w:val="000000"/>
          <w:kern w:val="0"/>
          <w:sz w:val="28"/>
          <w:szCs w:val="28"/>
          <w:shd w:fill="FFFFFF" w:val="clear"/>
          <w:lang w:val="ru-RU" w:eastAsia="ru-RU" w:bidi="ar-SA"/>
        </w:rPr>
        <w:t>22183,6</w:t>
      </w:r>
      <w:r>
        <w:rPr>
          <w:sz w:val="28"/>
          <w:szCs w:val="28"/>
          <w:shd w:fill="FFFFFF" w:val="clear"/>
        </w:rPr>
        <w:t xml:space="preserve"> млн. рублей);</w:t>
      </w:r>
    </w:p>
    <w:p>
      <w:pPr>
        <w:pStyle w:val="Normal"/>
        <w:ind w:firstLine="709"/>
        <w:jc w:val="both"/>
        <w:rPr>
          <w:shd w:fill="FFFFFF" w:val="clear"/>
        </w:rPr>
      </w:pPr>
      <w:r>
        <w:rPr>
          <w:sz w:val="28"/>
          <w:szCs w:val="28"/>
          <w:shd w:fill="FFFFFF" w:val="clear"/>
        </w:rPr>
        <w:t xml:space="preserve">на культуру, кинематографию – на </w:t>
      </w:r>
      <w:r>
        <w:rPr>
          <w:rFonts w:eastAsia="Times New Roman" w:cs="Times New Roman"/>
          <w:color w:val="000000"/>
          <w:kern w:val="0"/>
          <w:sz w:val="28"/>
          <w:szCs w:val="28"/>
          <w:shd w:fill="FFFFFF" w:val="clear"/>
          <w:lang w:val="ru-RU" w:eastAsia="ru-RU" w:bidi="ar-SA"/>
        </w:rPr>
        <w:t>3,0</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2477,9</w:t>
      </w:r>
      <w:r>
        <w:rPr>
          <w:sz w:val="28"/>
          <w:szCs w:val="28"/>
          <w:shd w:fill="FFFFFF" w:val="clear"/>
        </w:rPr>
        <w:t xml:space="preserve"> млн. рублей);</w:t>
      </w:r>
    </w:p>
    <w:p>
      <w:pPr>
        <w:pStyle w:val="Normal"/>
        <w:ind w:firstLine="709"/>
        <w:jc w:val="both"/>
        <w:rPr>
          <w:shd w:fill="FFFFFF" w:val="clear"/>
        </w:rPr>
      </w:pPr>
      <w:r>
        <w:rPr>
          <w:sz w:val="28"/>
          <w:szCs w:val="28"/>
          <w:shd w:fill="FFFFFF" w:val="clear"/>
        </w:rPr>
        <w:t xml:space="preserve">на здравоохранение —  на </w:t>
      </w:r>
      <w:r>
        <w:rPr>
          <w:rFonts w:eastAsia="Times New Roman" w:cs="Times New Roman"/>
          <w:color w:val="000000"/>
          <w:kern w:val="0"/>
          <w:sz w:val="28"/>
          <w:szCs w:val="28"/>
          <w:shd w:fill="FFFFFF" w:val="clear"/>
          <w:lang w:val="ru-RU" w:eastAsia="ru-RU" w:bidi="ar-SA"/>
        </w:rPr>
        <w:t xml:space="preserve">10,0 </w:t>
      </w:r>
      <w:r>
        <w:rPr>
          <w:sz w:val="28"/>
          <w:szCs w:val="28"/>
          <w:shd w:fill="FFFFFF" w:val="clear"/>
        </w:rPr>
        <w:t xml:space="preserve">процентов (10270,2 млн. рублей), </w:t>
      </w:r>
    </w:p>
    <w:p>
      <w:pPr>
        <w:pStyle w:val="Normal"/>
        <w:ind w:firstLine="709"/>
        <w:jc w:val="both"/>
        <w:rPr>
          <w:shd w:fill="FFFFFF" w:val="clear"/>
        </w:rPr>
      </w:pPr>
      <w:r>
        <w:rPr>
          <w:sz w:val="28"/>
          <w:szCs w:val="28"/>
          <w:shd w:fill="FFFFFF" w:val="clear"/>
        </w:rPr>
        <w:t xml:space="preserve">на социальную политику – уменьшаться на </w:t>
      </w:r>
      <w:r>
        <w:rPr>
          <w:rFonts w:eastAsia="Times New Roman" w:cs="Times New Roman"/>
          <w:color w:val="000000"/>
          <w:kern w:val="0"/>
          <w:sz w:val="28"/>
          <w:szCs w:val="28"/>
          <w:shd w:fill="FFFFFF" w:val="clear"/>
          <w:lang w:val="ru-RU" w:eastAsia="ru-RU" w:bidi="ar-SA"/>
        </w:rPr>
        <w:t>4,9</w:t>
      </w:r>
      <w:r>
        <w:rPr>
          <w:sz w:val="28"/>
          <w:szCs w:val="28"/>
          <w:shd w:fill="FFFFFF" w:val="clear"/>
        </w:rPr>
        <w:t xml:space="preserve"> процента (</w:t>
      </w:r>
      <w:r>
        <w:rPr>
          <w:rFonts w:eastAsia="Times New Roman" w:cs="Times New Roman"/>
          <w:color w:val="000000"/>
          <w:kern w:val="0"/>
          <w:sz w:val="28"/>
          <w:szCs w:val="28"/>
          <w:shd w:fill="FFFFFF" w:val="clear"/>
          <w:lang w:val="ru-RU" w:eastAsia="ru-RU" w:bidi="ar-SA"/>
        </w:rPr>
        <w:t>19754,1</w:t>
      </w:r>
      <w:r>
        <w:rPr>
          <w:sz w:val="28"/>
          <w:szCs w:val="28"/>
          <w:shd w:fill="FFFFFF" w:val="clear"/>
        </w:rPr>
        <w:t xml:space="preserve"> млн. рублей).</w:t>
      </w:r>
    </w:p>
    <w:p>
      <w:pPr>
        <w:pStyle w:val="Normal"/>
        <w:ind w:firstLine="709"/>
        <w:jc w:val="both"/>
        <w:rPr>
          <w:shd w:fill="FFFFFF" w:val="clear"/>
        </w:rPr>
      </w:pPr>
      <w:r>
        <w:rPr>
          <w:sz w:val="28"/>
          <w:szCs w:val="28"/>
          <w:shd w:fill="FFFFFF" w:val="clear"/>
        </w:rPr>
        <w:t xml:space="preserve">На 2022 год прогнозируется дефицит </w:t>
      </w:r>
      <w:r>
        <w:rPr>
          <w:rFonts w:eastAsia="Times New Roman" w:cs="Times New Roman"/>
          <w:color w:val="000000"/>
          <w:kern w:val="0"/>
          <w:sz w:val="28"/>
          <w:szCs w:val="28"/>
          <w:shd w:fill="FFFFFF" w:val="clear"/>
          <w:lang w:val="ru-RU" w:eastAsia="ru-RU" w:bidi="ar-SA"/>
        </w:rPr>
        <w:t>консолидироваанного</w:t>
      </w:r>
      <w:r>
        <w:rPr>
          <w:sz w:val="28"/>
          <w:szCs w:val="28"/>
          <w:shd w:fill="FFFFFF" w:val="clear"/>
        </w:rPr>
        <w:t xml:space="preserve"> бюджета в объеме 1433,3 млн. рублей – в сумме высвобожденных средств по итогам реструктуризации бюджетных кредитов, проведенной в 2020 и 2021 годах. На указанную сумму планируется увеличение объема государственного внутреннего долга. Государственный долг Брянской области и входящих в её состав муниципальных образований в 2022 году прогнозируется в сумме </w:t>
      </w:r>
      <w:r>
        <w:rPr>
          <w:rFonts w:eastAsia="Times New Roman" w:cs="Times New Roman"/>
          <w:color w:val="000000"/>
          <w:kern w:val="0"/>
          <w:sz w:val="28"/>
          <w:szCs w:val="28"/>
          <w:shd w:fill="FFFFFF" w:val="clear"/>
          <w:lang w:val="ru-RU" w:eastAsia="ru-RU" w:bidi="ar-SA"/>
        </w:rPr>
        <w:t xml:space="preserve">9173,5 </w:t>
      </w:r>
      <w:r>
        <w:rPr>
          <w:sz w:val="28"/>
          <w:szCs w:val="28"/>
          <w:shd w:fill="FFFFFF" w:val="clear"/>
        </w:rPr>
        <w:t xml:space="preserve">млн. рублей. </w:t>
      </w:r>
    </w:p>
    <w:p>
      <w:pPr>
        <w:pStyle w:val="Normal"/>
        <w:ind w:firstLine="709"/>
        <w:jc w:val="both"/>
        <w:rPr>
          <w:shd w:fill="FFFFFF" w:val="clear"/>
        </w:rPr>
      </w:pPr>
      <w:r>
        <w:rPr>
          <w:sz w:val="28"/>
          <w:szCs w:val="28"/>
          <w:shd w:fill="FFFFFF" w:val="clear"/>
        </w:rPr>
        <w:t>Увеличение объема доходов в 2023 – 2024 годах обусловлено прогнозируемым ростом поступлений налоговых и неналоговых доходов, безвозмездных поступлений.</w:t>
      </w:r>
    </w:p>
    <w:p>
      <w:pPr>
        <w:pStyle w:val="Normal"/>
        <w:ind w:firstLine="709"/>
        <w:jc w:val="both"/>
        <w:rPr>
          <w:shd w:fill="FFFFFF" w:val="clear"/>
        </w:rPr>
      </w:pPr>
      <w:r>
        <w:rPr>
          <w:sz w:val="28"/>
          <w:szCs w:val="28"/>
          <w:shd w:fill="FFFFFF" w:val="clear"/>
        </w:rPr>
        <w:t xml:space="preserve">Доходы консолидированного бюджета области на 2023 год определены в объеме </w:t>
      </w:r>
      <w:r>
        <w:rPr>
          <w:rFonts w:eastAsia="Times New Roman" w:cs="Times New Roman"/>
          <w:color w:val="000000"/>
          <w:kern w:val="0"/>
          <w:sz w:val="28"/>
          <w:szCs w:val="28"/>
          <w:shd w:fill="FFFFFF" w:val="clear"/>
          <w:lang w:val="ru-RU" w:eastAsia="ru-RU" w:bidi="ar-SA"/>
        </w:rPr>
        <w:t>97537,3</w:t>
      </w:r>
      <w:r>
        <w:rPr>
          <w:sz w:val="28"/>
          <w:szCs w:val="28"/>
          <w:shd w:fill="FFFFFF" w:val="clear"/>
        </w:rPr>
        <w:t xml:space="preserve"> млн. рублей, что на </w:t>
      </w:r>
      <w:r>
        <w:rPr>
          <w:rFonts w:eastAsia="Times New Roman" w:cs="Times New Roman"/>
          <w:color w:val="000000"/>
          <w:kern w:val="0"/>
          <w:sz w:val="28"/>
          <w:szCs w:val="28"/>
          <w:shd w:fill="FFFFFF" w:val="clear"/>
          <w:lang w:val="ru-RU" w:eastAsia="ru-RU" w:bidi="ar-SA"/>
        </w:rPr>
        <w:t>5,1</w:t>
      </w:r>
      <w:r>
        <w:rPr>
          <w:sz w:val="28"/>
          <w:szCs w:val="28"/>
          <w:shd w:fill="FFFFFF" w:val="clear"/>
        </w:rPr>
        <w:t xml:space="preserve"> процента больше уровня 2022 года. Общий объем налоговых доходов составит </w:t>
      </w:r>
      <w:r>
        <w:rPr>
          <w:rFonts w:eastAsia="Times New Roman" w:cs="Times New Roman"/>
          <w:color w:val="000000"/>
          <w:kern w:val="0"/>
          <w:sz w:val="28"/>
          <w:szCs w:val="28"/>
          <w:shd w:fill="FFFFFF" w:val="clear"/>
          <w:lang w:val="ru-RU" w:eastAsia="ru-RU" w:bidi="ar-SA"/>
        </w:rPr>
        <w:t>48779,5</w:t>
      </w:r>
      <w:r>
        <w:rPr>
          <w:sz w:val="28"/>
          <w:szCs w:val="28"/>
          <w:shd w:fill="FFFFFF" w:val="clear"/>
        </w:rPr>
        <w:t xml:space="preserve"> млн. рублей, что на </w:t>
      </w:r>
      <w:r>
        <w:rPr>
          <w:rFonts w:eastAsia="Times New Roman" w:cs="Times New Roman"/>
          <w:color w:val="000000"/>
          <w:kern w:val="0"/>
          <w:sz w:val="28"/>
          <w:szCs w:val="28"/>
          <w:shd w:fill="FFFFFF" w:val="clear"/>
          <w:lang w:val="ru-RU" w:eastAsia="ru-RU" w:bidi="ar-SA"/>
        </w:rPr>
        <w:t>6,5</w:t>
      </w:r>
      <w:r>
        <w:rPr>
          <w:sz w:val="28"/>
          <w:szCs w:val="28"/>
          <w:shd w:fill="FFFFFF" w:val="clear"/>
        </w:rPr>
        <w:t xml:space="preserve"> процента больше, чем в 2022 году. Безвозмездные поступления из федерального бюджета увеличатся на  </w:t>
      </w:r>
      <w:r>
        <w:rPr>
          <w:rFonts w:eastAsia="Times New Roman" w:cs="Times New Roman"/>
          <w:color w:val="000000"/>
          <w:kern w:val="0"/>
          <w:sz w:val="28"/>
          <w:szCs w:val="28"/>
          <w:shd w:fill="FFFFFF" w:val="clear"/>
          <w:lang w:val="ru-RU" w:eastAsia="ru-RU" w:bidi="ar-SA"/>
        </w:rPr>
        <w:t>4,0</w:t>
      </w:r>
      <w:r>
        <w:rPr>
          <w:sz w:val="28"/>
          <w:szCs w:val="28"/>
          <w:shd w:fill="FFFFFF" w:val="clear"/>
        </w:rPr>
        <w:t xml:space="preserve"> процента к уровню 2022 года и составят </w:t>
      </w:r>
      <w:r>
        <w:rPr>
          <w:rFonts w:eastAsia="Times New Roman" w:cs="Times New Roman"/>
          <w:color w:val="000000"/>
          <w:kern w:val="0"/>
          <w:sz w:val="28"/>
          <w:szCs w:val="28"/>
          <w:shd w:fill="FFFFFF" w:val="clear"/>
          <w:lang w:val="ru-RU" w:eastAsia="ru-RU" w:bidi="ar-SA"/>
        </w:rPr>
        <w:t>46962,0</w:t>
      </w:r>
      <w:r>
        <w:rPr>
          <w:sz w:val="28"/>
          <w:szCs w:val="28"/>
          <w:shd w:fill="FFFFFF" w:val="clear"/>
        </w:rPr>
        <w:t xml:space="preserve"> млн. рублей. Расходы консолидированного бюджета области на 2023 год определены в сумме </w:t>
      </w:r>
      <w:r>
        <w:rPr>
          <w:rFonts w:eastAsia="Times New Roman" w:cs="Times New Roman"/>
          <w:color w:val="000000"/>
          <w:kern w:val="0"/>
          <w:sz w:val="28"/>
          <w:szCs w:val="28"/>
          <w:shd w:fill="FFFFFF" w:val="clear"/>
          <w:lang w:val="ru-RU" w:eastAsia="ru-RU" w:bidi="ar-SA"/>
        </w:rPr>
        <w:t>97537,3</w:t>
      </w:r>
      <w:r>
        <w:rPr>
          <w:sz w:val="28"/>
          <w:szCs w:val="28"/>
          <w:shd w:fill="FFFFFF" w:val="clear"/>
        </w:rPr>
        <w:t xml:space="preserve"> млн. рублей, что больше уровня 2022 года на 3,5 процента. </w:t>
      </w:r>
    </w:p>
    <w:p>
      <w:pPr>
        <w:pStyle w:val="Normal"/>
        <w:ind w:firstLine="709"/>
        <w:jc w:val="both"/>
        <w:rPr>
          <w:shd w:fill="FFFFFF" w:val="clear"/>
        </w:rPr>
      </w:pPr>
      <w:r>
        <w:rPr>
          <w:sz w:val="28"/>
          <w:szCs w:val="28"/>
          <w:shd w:fill="FFFFFF" w:val="clear"/>
        </w:rPr>
        <w:t xml:space="preserve">Доходы консолидированного бюджета области на 2024 год определены в объёме </w:t>
      </w:r>
      <w:r>
        <w:rPr>
          <w:rFonts w:eastAsia="Times New Roman" w:cs="Times New Roman"/>
          <w:color w:val="000000"/>
          <w:kern w:val="0"/>
          <w:sz w:val="28"/>
          <w:szCs w:val="28"/>
          <w:shd w:fill="FFFFFF" w:val="clear"/>
          <w:lang w:val="ru-RU" w:eastAsia="ru-RU" w:bidi="ar-SA"/>
        </w:rPr>
        <w:t>102472,8</w:t>
      </w:r>
      <w:r>
        <w:rPr>
          <w:sz w:val="28"/>
          <w:szCs w:val="28"/>
          <w:shd w:fill="FFFFFF" w:val="clear"/>
        </w:rPr>
        <w:t xml:space="preserve"> млн. рублей, что на </w:t>
      </w:r>
      <w:r>
        <w:rPr>
          <w:rFonts w:eastAsia="Times New Roman" w:cs="Times New Roman"/>
          <w:color w:val="000000"/>
          <w:kern w:val="0"/>
          <w:sz w:val="28"/>
          <w:szCs w:val="28"/>
          <w:shd w:fill="FFFFFF" w:val="clear"/>
          <w:lang w:val="ru-RU" w:eastAsia="ru-RU" w:bidi="ar-SA"/>
        </w:rPr>
        <w:t>5,1</w:t>
      </w:r>
      <w:r>
        <w:rPr>
          <w:sz w:val="28"/>
          <w:szCs w:val="28"/>
          <w:shd w:fill="FFFFFF" w:val="clear"/>
        </w:rPr>
        <w:t xml:space="preserve"> процента больше, чем в 2023 году. Общий объем налоговых доходов составит </w:t>
      </w:r>
      <w:r>
        <w:rPr>
          <w:rFonts w:eastAsia="Times New Roman" w:cs="Times New Roman"/>
          <w:color w:val="000000"/>
          <w:kern w:val="0"/>
          <w:sz w:val="28"/>
          <w:szCs w:val="28"/>
          <w:shd w:fill="FFFFFF" w:val="clear"/>
          <w:lang w:val="ru-RU" w:eastAsia="ru-RU" w:bidi="ar-SA"/>
        </w:rPr>
        <w:t>51851,3</w:t>
      </w:r>
      <w:r>
        <w:rPr>
          <w:sz w:val="28"/>
          <w:szCs w:val="28"/>
          <w:shd w:fill="FFFFFF" w:val="clear"/>
        </w:rPr>
        <w:t xml:space="preserve"> млн. рублей (больше на </w:t>
      </w:r>
      <w:r>
        <w:rPr>
          <w:rFonts w:eastAsia="Times New Roman" w:cs="Times New Roman"/>
          <w:color w:val="000000"/>
          <w:kern w:val="0"/>
          <w:sz w:val="28"/>
          <w:szCs w:val="28"/>
          <w:shd w:fill="FFFFFF" w:val="clear"/>
          <w:lang w:val="ru-RU" w:eastAsia="ru-RU" w:bidi="ar-SA"/>
        </w:rPr>
        <w:t>6,3</w:t>
      </w:r>
      <w:r>
        <w:rPr>
          <w:sz w:val="28"/>
          <w:szCs w:val="28"/>
          <w:shd w:fill="FFFFFF" w:val="clear"/>
        </w:rPr>
        <w:t xml:space="preserve"> процента). Безвозмездные поступления из федерального бюджета </w:t>
      </w:r>
      <w:r>
        <w:rPr>
          <w:rFonts w:eastAsia="Times New Roman" w:cs="Times New Roman"/>
          <w:color w:val="000000"/>
          <w:kern w:val="0"/>
          <w:sz w:val="28"/>
          <w:szCs w:val="28"/>
          <w:shd w:fill="FFFFFF" w:val="clear"/>
          <w:lang w:val="ru-RU" w:eastAsia="ru-RU" w:bidi="ar-SA"/>
        </w:rPr>
        <w:t xml:space="preserve">увеличатся на 4,0 процента к </w:t>
      </w:r>
      <w:r>
        <w:rPr>
          <w:sz w:val="28"/>
          <w:szCs w:val="28"/>
          <w:shd w:fill="FFFFFF" w:val="clear"/>
        </w:rPr>
        <w:t xml:space="preserve">уровню 2023 года и составят </w:t>
      </w:r>
      <w:r>
        <w:rPr>
          <w:rFonts w:eastAsia="Times New Roman" w:cs="Times New Roman"/>
          <w:color w:val="000000"/>
          <w:kern w:val="0"/>
          <w:sz w:val="28"/>
          <w:szCs w:val="28"/>
          <w:shd w:fill="FFFFFF" w:val="clear"/>
          <w:lang w:val="ru-RU" w:eastAsia="ru-RU" w:bidi="ar-SA"/>
        </w:rPr>
        <w:t>48840,5</w:t>
      </w:r>
      <w:r>
        <w:rPr>
          <w:sz w:val="28"/>
          <w:szCs w:val="28"/>
          <w:shd w:fill="FFFFFF" w:val="clear"/>
        </w:rPr>
        <w:t xml:space="preserve"> млн. рублей. Расходы консолидированного бюджета области на 2024 год увеличатся на </w:t>
      </w:r>
      <w:r>
        <w:rPr>
          <w:rFonts w:eastAsia="Times New Roman" w:cs="Times New Roman"/>
          <w:color w:val="000000"/>
          <w:kern w:val="0"/>
          <w:sz w:val="28"/>
          <w:szCs w:val="28"/>
          <w:shd w:fill="FFFFFF" w:val="clear"/>
          <w:lang w:val="ru-RU" w:eastAsia="ru-RU" w:bidi="ar-SA"/>
        </w:rPr>
        <w:t xml:space="preserve">5,1 </w:t>
      </w:r>
      <w:r>
        <w:rPr>
          <w:sz w:val="28"/>
          <w:szCs w:val="28"/>
          <w:shd w:fill="FFFFFF" w:val="clear"/>
        </w:rPr>
        <w:t xml:space="preserve">процента к уровню 2023 года и составят </w:t>
      </w:r>
      <w:r>
        <w:rPr>
          <w:rFonts w:eastAsia="Times New Roman" w:cs="Times New Roman"/>
          <w:color w:val="000000"/>
          <w:kern w:val="0"/>
          <w:sz w:val="28"/>
          <w:szCs w:val="28"/>
          <w:shd w:fill="FFFFFF" w:val="clear"/>
          <w:lang w:val="ru-RU" w:eastAsia="ru-RU" w:bidi="ar-SA"/>
        </w:rPr>
        <w:t>102472,8</w:t>
      </w:r>
      <w:r>
        <w:rPr>
          <w:sz w:val="28"/>
          <w:szCs w:val="28"/>
          <w:shd w:fill="FFFFFF" w:val="clear"/>
        </w:rPr>
        <w:t xml:space="preserve"> млн. рублей. </w:t>
      </w:r>
    </w:p>
    <w:p>
      <w:pPr>
        <w:pStyle w:val="Normal"/>
        <w:ind w:firstLine="709"/>
        <w:jc w:val="both"/>
        <w:rPr>
          <w:shd w:fill="FFFFFF" w:val="clear"/>
        </w:rPr>
      </w:pPr>
      <w:r>
        <w:rPr>
          <w:sz w:val="28"/>
          <w:szCs w:val="28"/>
          <w:shd w:fill="FFFFFF" w:val="clear"/>
        </w:rPr>
        <w:t xml:space="preserve">В 2023 и 2024 годах </w:t>
      </w:r>
      <w:r>
        <w:rPr>
          <w:rFonts w:eastAsia="Times New Roman" w:cs="Times New Roman"/>
          <w:color w:val="000000"/>
          <w:kern w:val="0"/>
          <w:sz w:val="28"/>
          <w:szCs w:val="28"/>
          <w:shd w:fill="FFFFFF" w:val="clear"/>
          <w:lang w:val="ru-RU" w:eastAsia="ru-RU" w:bidi="ar-SA"/>
        </w:rPr>
        <w:t>прогнозируется</w:t>
      </w:r>
      <w:r>
        <w:rPr>
          <w:sz w:val="28"/>
          <w:szCs w:val="28"/>
          <w:shd w:fill="FFFFFF" w:val="clear"/>
        </w:rPr>
        <w:t xml:space="preserve"> сбалансированный бюджет и сохранение объема государственного внутреннего долга на уровне 2022 года в объеме 9173,5 млн. рублей.</w:t>
      </w:r>
    </w:p>
    <w:p>
      <w:pPr>
        <w:pStyle w:val="Normal"/>
        <w:ind w:firstLine="709"/>
        <w:jc w:val="both"/>
        <w:rPr>
          <w:shd w:fill="FFFFFF" w:val="clear"/>
        </w:rPr>
      </w:pPr>
      <w:r>
        <w:rPr>
          <w:shd w:fill="FFFFFF" w:val="clear"/>
        </w:rPr>
      </w:r>
    </w:p>
    <w:p>
      <w:pPr>
        <w:pStyle w:val="Normal"/>
        <w:ind w:left="0" w:right="0" w:firstLine="709"/>
        <w:jc w:val="center"/>
        <w:rPr>
          <w:shd w:fill="FFFFFF" w:val="clear"/>
        </w:rPr>
      </w:pPr>
      <w:r>
        <w:rPr>
          <w:b/>
          <w:sz w:val="28"/>
          <w:szCs w:val="28"/>
          <w:shd w:fill="FFFFFF" w:val="clear"/>
        </w:rPr>
        <w:t>11. Денежные доходы населения</w:t>
      </w:r>
    </w:p>
    <w:p>
      <w:pPr>
        <w:pStyle w:val="Normal"/>
        <w:ind w:firstLine="709"/>
        <w:jc w:val="both"/>
        <w:rPr>
          <w:shd w:fill="FFFFFF" w:val="clear"/>
        </w:rPr>
      </w:pPr>
      <w:r>
        <w:rPr>
          <w:shd w:fill="FFFFFF" w:val="clear"/>
        </w:rPr>
      </w:r>
    </w:p>
    <w:p>
      <w:pPr>
        <w:pStyle w:val="Normal"/>
        <w:ind w:firstLine="709"/>
        <w:jc w:val="both"/>
        <w:rPr>
          <w:shd w:fill="FFFFFF" w:val="clear"/>
        </w:rPr>
      </w:pPr>
      <w:r>
        <w:rPr>
          <w:sz w:val="28"/>
          <w:szCs w:val="28"/>
          <w:shd w:fill="FFFFFF" w:val="clear"/>
        </w:rPr>
        <w:t xml:space="preserve">В </w:t>
      </w:r>
      <w:r>
        <w:rPr>
          <w:sz w:val="28"/>
          <w:szCs w:val="28"/>
          <w:shd w:fill="FFFFFF" w:val="clear"/>
          <w:lang w:val="en-US"/>
        </w:rPr>
        <w:t>2020</w:t>
      </w:r>
      <w:r>
        <w:rPr>
          <w:sz w:val="28"/>
          <w:szCs w:val="28"/>
          <w:shd w:fill="FFFFFF" w:val="clear"/>
        </w:rPr>
        <w:t xml:space="preserve"> году прожиточный минимум в среднем на душу населения составил 11027,0 рублей, что на 4,3 процента больше, чем в 2019 году. Реальные располагаемые доходы составили </w:t>
      </w:r>
      <w:r>
        <w:rPr>
          <w:sz w:val="28"/>
          <w:szCs w:val="28"/>
          <w:shd w:fill="FFFFFF" w:val="clear"/>
          <w:lang w:val="en-US"/>
        </w:rPr>
        <w:t>95,1</w:t>
      </w:r>
      <w:r>
        <w:rPr>
          <w:sz w:val="28"/>
          <w:szCs w:val="28"/>
          <w:shd w:fill="FFFFFF" w:val="clear"/>
        </w:rPr>
        <w:t xml:space="preserve"> процента к уровню </w:t>
      </w:r>
      <w:r>
        <w:rPr>
          <w:sz w:val="28"/>
          <w:szCs w:val="28"/>
          <w:shd w:fill="FFFFFF" w:val="clear"/>
          <w:lang w:val="en-US"/>
        </w:rPr>
        <w:t>2019</w:t>
      </w:r>
      <w:r>
        <w:rPr>
          <w:sz w:val="28"/>
          <w:szCs w:val="28"/>
          <w:shd w:fill="FFFFFF" w:val="clear"/>
        </w:rPr>
        <w:t xml:space="preserve"> года. Численность населения с доходами ниже величины прожиточного минимума составила 13,8 процента от общей численности населения.</w:t>
      </w:r>
    </w:p>
    <w:p>
      <w:pPr>
        <w:pStyle w:val="Normal"/>
        <w:ind w:firstLine="709"/>
        <w:jc w:val="both"/>
        <w:rPr>
          <w:shd w:fill="FFFFFF" w:val="clear"/>
        </w:rPr>
      </w:pPr>
      <w:r>
        <w:rPr>
          <w:sz w:val="28"/>
          <w:szCs w:val="28"/>
          <w:shd w:fill="FFFFFF" w:val="clear"/>
        </w:rPr>
        <w:t xml:space="preserve">В </w:t>
      </w:r>
      <w:r>
        <w:rPr>
          <w:sz w:val="28"/>
          <w:szCs w:val="28"/>
          <w:shd w:fill="FFFFFF" w:val="clear"/>
          <w:lang w:val="en-US"/>
        </w:rPr>
        <w:t>2021</w:t>
      </w:r>
      <w:r>
        <w:rPr>
          <w:sz w:val="28"/>
          <w:szCs w:val="28"/>
          <w:shd w:fill="FFFFFF" w:val="clear"/>
        </w:rPr>
        <w:t xml:space="preserve"> году прожиточный минимум в среднем на душу населения оценивается в 11280,0 рублей. Реальные располагаемые денежные доходы населения составят </w:t>
      </w:r>
      <w:r>
        <w:rPr>
          <w:sz w:val="28"/>
          <w:szCs w:val="28"/>
          <w:shd w:fill="FFFFFF" w:val="clear"/>
          <w:lang w:val="en-US"/>
        </w:rPr>
        <w:t>102,</w:t>
      </w:r>
      <w:r>
        <w:rPr>
          <w:rFonts w:eastAsia="Times New Roman" w:cs="Times New Roman"/>
          <w:color w:val="000000"/>
          <w:kern w:val="0"/>
          <w:sz w:val="28"/>
          <w:szCs w:val="28"/>
          <w:shd w:fill="FFFFFF" w:val="clear"/>
          <w:lang w:val="en-US" w:eastAsia="ru-RU" w:bidi="ar-SA"/>
        </w:rPr>
        <w:t>8</w:t>
      </w:r>
      <w:r>
        <w:rPr>
          <w:sz w:val="28"/>
          <w:szCs w:val="28"/>
          <w:shd w:fill="FFFFFF" w:val="clear"/>
        </w:rPr>
        <w:t xml:space="preserve"> процента к уровню </w:t>
      </w:r>
      <w:r>
        <w:rPr>
          <w:sz w:val="28"/>
          <w:szCs w:val="28"/>
          <w:shd w:fill="FFFFFF" w:val="clear"/>
          <w:lang w:val="en-US"/>
        </w:rPr>
        <w:t>2020</w:t>
      </w:r>
      <w:r>
        <w:rPr>
          <w:sz w:val="28"/>
          <w:szCs w:val="28"/>
          <w:shd w:fill="FFFFFF" w:val="clear"/>
        </w:rPr>
        <w:t xml:space="preserve"> года, удельный вес населения с доходами ниже величины прожиточного минимума составит </w:t>
      </w:r>
      <w:r>
        <w:rPr>
          <w:rFonts w:eastAsia="Times New Roman" w:cs="Times New Roman"/>
          <w:color w:val="000000"/>
          <w:kern w:val="0"/>
          <w:sz w:val="28"/>
          <w:szCs w:val="28"/>
          <w:shd w:fill="FFFFFF" w:val="clear"/>
          <w:lang w:val="en-US" w:eastAsia="ru-RU" w:bidi="ar-SA"/>
        </w:rPr>
        <w:t>13,0</w:t>
      </w:r>
      <w:r>
        <w:rPr>
          <w:sz w:val="28"/>
          <w:szCs w:val="28"/>
          <w:shd w:fill="FFFFFF" w:val="clear"/>
        </w:rPr>
        <w:t xml:space="preserve"> </w:t>
      </w:r>
      <w:r>
        <w:rPr>
          <w:sz w:val="28"/>
          <w:szCs w:val="28"/>
          <w:shd w:fill="FFFFFF" w:val="clear"/>
          <w:lang w:val="ru-RU"/>
        </w:rPr>
        <w:t>процентов</w:t>
      </w:r>
      <w:r>
        <w:rPr>
          <w:sz w:val="28"/>
          <w:szCs w:val="28"/>
          <w:shd w:fill="FFFFFF" w:val="clear"/>
        </w:rPr>
        <w:t xml:space="preserve"> от общей численности населения.</w:t>
      </w:r>
    </w:p>
    <w:p>
      <w:pPr>
        <w:pStyle w:val="Normal"/>
        <w:ind w:firstLine="709"/>
        <w:jc w:val="both"/>
        <w:rPr>
          <w:shd w:fill="FFFFFF" w:val="clear"/>
        </w:rPr>
      </w:pPr>
      <w:r>
        <w:rPr>
          <w:sz w:val="28"/>
          <w:szCs w:val="28"/>
          <w:shd w:fill="FFFFFF" w:val="clear"/>
        </w:rPr>
        <w:t>В прогнозируемом периоде по мере улучшения макроэкономической ситуации динамика доходов населения улучшится. Росту реальных доходов граждан, а также снижению уровня бедности будет способствовать расширение форм предоставления социальной помощи нуждающимся гражданам, а также целевая поддержка отдельных категорий граждан, в частности, семей с детьми.</w:t>
      </w:r>
    </w:p>
    <w:p>
      <w:pPr>
        <w:pStyle w:val="Normal"/>
        <w:ind w:firstLine="709"/>
        <w:jc w:val="both"/>
        <w:rPr>
          <w:shd w:fill="FFFFFF" w:val="clear"/>
        </w:rPr>
      </w:pPr>
      <w:r>
        <w:rPr>
          <w:sz w:val="28"/>
          <w:szCs w:val="28"/>
          <w:shd w:fill="FFFFFF" w:val="clear"/>
        </w:rPr>
        <w:t xml:space="preserve">В </w:t>
      </w:r>
      <w:r>
        <w:rPr>
          <w:sz w:val="28"/>
          <w:szCs w:val="28"/>
          <w:shd w:fill="FFFFFF" w:val="clear"/>
          <w:lang w:val="en-US"/>
        </w:rPr>
        <w:t>2022</w:t>
      </w:r>
      <w:r>
        <w:rPr>
          <w:sz w:val="28"/>
          <w:szCs w:val="28"/>
          <w:shd w:fill="FFFFFF" w:val="clear"/>
        </w:rPr>
        <w:t xml:space="preserve"> году реальные располагаемые денежные доходы населения </w:t>
      </w:r>
      <w:r>
        <w:rPr>
          <w:sz w:val="28"/>
          <w:szCs w:val="28"/>
          <w:shd w:fill="FFFFFF" w:val="clear"/>
          <w:lang w:val="ru-RU"/>
        </w:rPr>
        <w:t xml:space="preserve">прогнозируются в </w:t>
      </w:r>
      <w:r>
        <w:rPr>
          <w:rFonts w:eastAsia="Times New Roman" w:cs="Times New Roman"/>
          <w:color w:val="000000"/>
          <w:kern w:val="0"/>
          <w:sz w:val="28"/>
          <w:szCs w:val="28"/>
          <w:shd w:fill="FFFFFF" w:val="clear"/>
          <w:lang w:val="ru-RU" w:eastAsia="ru-RU" w:bidi="ar-SA"/>
        </w:rPr>
        <w:t>102,5</w:t>
      </w:r>
      <w:r>
        <w:rPr>
          <w:sz w:val="28"/>
          <w:szCs w:val="28"/>
          <w:shd w:fill="FFFFFF" w:val="clear"/>
        </w:rPr>
        <w:t xml:space="preserve"> процента к уровню 2021 года, в 2023 — 2024 годах – </w:t>
      </w:r>
      <w:r>
        <w:rPr>
          <w:rFonts w:eastAsia="Times New Roman" w:cs="Times New Roman"/>
          <w:color w:val="000000"/>
          <w:kern w:val="0"/>
          <w:sz w:val="28"/>
          <w:szCs w:val="28"/>
          <w:shd w:fill="FFFFFF" w:val="clear"/>
          <w:lang w:val="ru-RU" w:eastAsia="ru-RU" w:bidi="ar-SA"/>
        </w:rPr>
        <w:t>102,6</w:t>
      </w:r>
      <w:r>
        <w:rPr>
          <w:sz w:val="28"/>
          <w:szCs w:val="28"/>
          <w:shd w:fill="FFFFFF" w:val="clear"/>
        </w:rPr>
        <w:t xml:space="preserve"> процента. Удельный вес населения с доходами ниже величины прожиточного минимума снизится в 2024 году до 10,8 процента от общей численности населения. </w:t>
      </w:r>
    </w:p>
    <w:p>
      <w:pPr>
        <w:pStyle w:val="Normal"/>
        <w:ind w:firstLine="709"/>
        <w:jc w:val="both"/>
        <w:rPr>
          <w:shd w:fill="FFFFFF" w:val="clear"/>
        </w:rPr>
      </w:pPr>
      <w:r>
        <w:rPr>
          <w:shd w:fill="FFFFFF" w:val="clear"/>
        </w:rPr>
      </w:r>
    </w:p>
    <w:p>
      <w:pPr>
        <w:pStyle w:val="Normal"/>
        <w:ind w:left="0" w:right="0" w:firstLine="709"/>
        <w:jc w:val="center"/>
        <w:rPr>
          <w:shd w:fill="FFFFFF" w:val="clear"/>
        </w:rPr>
      </w:pPr>
      <w:r>
        <w:rPr>
          <w:b/>
          <w:sz w:val="28"/>
          <w:szCs w:val="28"/>
          <w:shd w:fill="FFFFFF" w:val="clear"/>
        </w:rPr>
        <w:t>12. Труд и занятость</w:t>
      </w:r>
    </w:p>
    <w:p>
      <w:pPr>
        <w:pStyle w:val="Normal"/>
        <w:ind w:left="0" w:right="0" w:firstLine="709"/>
        <w:jc w:val="both"/>
        <w:rPr>
          <w:sz w:val="28"/>
          <w:szCs w:val="28"/>
          <w:shd w:fill="FFFFFF" w:val="clear"/>
        </w:rPr>
      </w:pPr>
      <w:r>
        <w:rPr>
          <w:sz w:val="28"/>
          <w:szCs w:val="28"/>
          <w:shd w:fill="FFFFFF" w:val="clear"/>
        </w:rPr>
      </w:r>
    </w:p>
    <w:p>
      <w:pPr>
        <w:pStyle w:val="BodyText2"/>
        <w:ind w:firstLine="709"/>
        <w:rPr>
          <w:shd w:fill="FFFFFF" w:val="clear"/>
        </w:rPr>
      </w:pPr>
      <w:r>
        <w:rPr>
          <w:b w:val="false"/>
          <w:bCs w:val="false"/>
          <w:sz w:val="28"/>
          <w:szCs w:val="28"/>
          <w:shd w:fill="FFFFFF" w:val="clear"/>
        </w:rPr>
        <w:t>Численность рабочей силы в 2020 году составила 583,4 тыс. человек, среднегодовая численность занятых в экономике (по балансу трудовых ресурсов) – 498,6 тыс. человек. В 2021 году ожидается рост численности занятых в экономике до 506,2 человек.</w:t>
      </w:r>
    </w:p>
    <w:p>
      <w:pPr>
        <w:pStyle w:val="BodyText2"/>
        <w:ind w:firstLine="709"/>
        <w:rPr>
          <w:shd w:fill="FFFFFF" w:val="clear"/>
        </w:rPr>
      </w:pPr>
      <w:r>
        <w:rPr>
          <w:b w:val="false"/>
          <w:bCs w:val="false"/>
          <w:sz w:val="28"/>
          <w:szCs w:val="28"/>
          <w:shd w:fill="FFFFFF" w:val="clear"/>
        </w:rPr>
        <w:t>Развитие рынка труда в перспективе будет определяться, в основном, мерами, направленными на снижение влияния негативных демографических тенденций. Улучшению ситуации на рынке труда будут способствовать реализация мероприятий национального проекта "Демография", Стратегии действий в интересах граждан старшего поколения, направленных на стимулирование активного долголетия, а также активные меры миграционной политики. Все эти меры позволят восполнить потребности рынка труда в трудовых ресурсах.</w:t>
      </w:r>
    </w:p>
    <w:p>
      <w:pPr>
        <w:pStyle w:val="BodyText2"/>
        <w:ind w:firstLine="709"/>
        <w:rPr>
          <w:shd w:fill="FFFFFF" w:val="clear"/>
        </w:rPr>
      </w:pPr>
      <w:r>
        <w:rPr>
          <w:b w:val="false"/>
          <w:bCs w:val="false"/>
          <w:sz w:val="28"/>
          <w:szCs w:val="28"/>
          <w:shd w:fill="FFFFFF" w:val="clear"/>
        </w:rPr>
        <w:t>Поддержку рынку труда будет оказывать расширение границ трудоспособного возраста в связи с поэтапным повышением пенсионного возраста.</w:t>
      </w:r>
    </w:p>
    <w:p>
      <w:pPr>
        <w:pStyle w:val="Normal"/>
        <w:ind w:firstLine="708"/>
        <w:jc w:val="both"/>
        <w:rPr>
          <w:shd w:fill="FFFFFF" w:val="clear"/>
        </w:rPr>
      </w:pPr>
      <w:r>
        <w:rPr>
          <w:sz w:val="28"/>
          <w:szCs w:val="28"/>
          <w:shd w:fill="FFFFFF" w:val="clear"/>
        </w:rPr>
        <w:t>Численность рабочей силы и численность лиц, занятых в экономике области, будет постепенно увеличиваться и в 2022 году составит 587,7 тыс. человек и 507,6 тыс. человек соответственно, в 2024 году – 590,0 тыс. человек и 511,3 тыс. человек соответственно. Рост занятости будет обеспечен за счет снижения общего уровня безработицы.</w:t>
      </w:r>
    </w:p>
    <w:p>
      <w:pPr>
        <w:pStyle w:val="BodyText2"/>
        <w:ind w:firstLine="709"/>
        <w:rPr>
          <w:shd w:fill="FFFFFF" w:val="clear"/>
        </w:rPr>
      </w:pPr>
      <w:r>
        <w:rPr>
          <w:b w:val="false"/>
          <w:sz w:val="28"/>
          <w:szCs w:val="28"/>
          <w:shd w:fill="FFFFFF" w:val="clear"/>
        </w:rPr>
        <w:t xml:space="preserve">Величина среднемесячной номинальной начисленной заработной платы в 2020 году составила </w:t>
      </w:r>
      <w:r>
        <w:rPr>
          <w:b w:val="false"/>
          <w:sz w:val="28"/>
          <w:szCs w:val="28"/>
          <w:shd w:fill="FFFFFF" w:val="clear"/>
          <w:lang w:val="en-US"/>
        </w:rPr>
        <w:t>31946,0</w:t>
      </w:r>
      <w:r>
        <w:rPr>
          <w:b w:val="false"/>
          <w:sz w:val="28"/>
          <w:szCs w:val="28"/>
          <w:shd w:fill="FFFFFF" w:val="clear"/>
        </w:rPr>
        <w:t xml:space="preserve"> рублей (107,0 процентов к уровню 2019 года). В 2021 году в номинальном исчислении среднемесячная заработная плата оценивается в 35000,0 рублей (рост на 9,6 процента к уровню 2020 года). В реальном исчислении среднемесячная заработная плата оценивается в 103,2 процента.</w:t>
      </w:r>
    </w:p>
    <w:p>
      <w:pPr>
        <w:pStyle w:val="Normal"/>
        <w:ind w:firstLine="709"/>
        <w:jc w:val="both"/>
        <w:rPr>
          <w:shd w:fill="FFFFFF" w:val="clear"/>
        </w:rPr>
      </w:pPr>
      <w:r>
        <w:rPr>
          <w:sz w:val="28"/>
          <w:szCs w:val="28"/>
          <w:shd w:fill="FFFFFF" w:val="clear"/>
        </w:rPr>
        <w:t>В среднесрочной перспективе в бюджетном секторе отдельным категориям работников будут сохранены достигнутые соотношения их заработной платы к среднемесячному доходу от трудовой деятельности в регионе, продолжена индексация заработной платы в соответствии с уровнем инфляции.</w:t>
      </w:r>
    </w:p>
    <w:p>
      <w:pPr>
        <w:pStyle w:val="Normal"/>
        <w:ind w:firstLine="708"/>
        <w:jc w:val="both"/>
        <w:rPr>
          <w:shd w:fill="FFFFFF" w:val="clear"/>
        </w:rPr>
      </w:pPr>
      <w:r>
        <w:rPr>
          <w:sz w:val="28"/>
          <w:szCs w:val="28"/>
          <w:shd w:fill="FFFFFF" w:val="clear"/>
        </w:rPr>
        <w:t>Увеличение заработной платы во внебюджетном секторе экономики будет определяться динамикой роста производства и производительности труда.</w:t>
      </w:r>
    </w:p>
    <w:p>
      <w:pPr>
        <w:pStyle w:val="Normal"/>
        <w:ind w:firstLine="709"/>
        <w:jc w:val="both"/>
        <w:rPr>
          <w:shd w:fill="FFFFFF" w:val="clear"/>
        </w:rPr>
      </w:pPr>
      <w:r>
        <w:rPr>
          <w:sz w:val="28"/>
          <w:szCs w:val="28"/>
          <w:shd w:fill="FFFFFF" w:val="clear"/>
        </w:rPr>
        <w:t xml:space="preserve">В прогнозируемом периоде рост реальной заработной платы составит от 2,9 до 3,2 процента ежегодно. </w:t>
      </w:r>
    </w:p>
    <w:p>
      <w:pPr>
        <w:pStyle w:val="Normal"/>
        <w:ind w:firstLine="709"/>
        <w:jc w:val="both"/>
        <w:rPr>
          <w:shd w:fill="FFFFFF" w:val="clear"/>
        </w:rPr>
      </w:pPr>
      <w:r>
        <w:rPr>
          <w:sz w:val="28"/>
          <w:szCs w:val="28"/>
          <w:shd w:fill="FFFFFF" w:val="clear"/>
        </w:rPr>
        <w:t>Величина среднемесячной номинальной начисленной заработной платы в 2022 году увеличится до 37450,0 рублей, в 2024 году – до 43120,0 рублей.</w:t>
      </w:r>
    </w:p>
    <w:p>
      <w:pPr>
        <w:pStyle w:val="Normal"/>
        <w:ind w:firstLine="709"/>
        <w:jc w:val="both"/>
        <w:rPr>
          <w:shd w:fill="FFFFFF" w:val="clear"/>
        </w:rPr>
      </w:pPr>
      <w:r>
        <w:rPr>
          <w:sz w:val="28"/>
          <w:szCs w:val="28"/>
          <w:shd w:fill="FFFFFF" w:val="clear"/>
        </w:rPr>
        <w:t xml:space="preserve">В 2021 году </w:t>
      </w:r>
      <w:r>
        <w:rPr>
          <w:rFonts w:eastAsia="Times New Roman" w:cs="Times New Roman"/>
          <w:color w:val="000000"/>
          <w:kern w:val="0"/>
          <w:sz w:val="28"/>
          <w:szCs w:val="28"/>
          <w:shd w:fill="FFFFFF" w:val="clear"/>
          <w:lang w:val="ru-RU" w:eastAsia="ru-RU" w:bidi="ar-SA"/>
        </w:rPr>
        <w:t>наблюдается</w:t>
      </w:r>
      <w:r>
        <w:rPr>
          <w:sz w:val="28"/>
          <w:szCs w:val="28"/>
          <w:shd w:fill="FFFFFF" w:val="clear"/>
        </w:rPr>
        <w:t xml:space="preserve"> восстановление рынка труда.</w:t>
      </w:r>
      <w:r>
        <w:rPr>
          <w:bCs/>
          <w:sz w:val="28"/>
          <w:szCs w:val="28"/>
          <w:shd w:fill="FFFFFF" w:val="clear"/>
        </w:rPr>
        <w:t xml:space="preserve"> По состоянию на 1 января 2022 года уровень официально зарегистрированной безработицы оценивается в 1,0 процент </w:t>
      </w:r>
      <w:r>
        <w:rPr>
          <w:sz w:val="28"/>
          <w:szCs w:val="28"/>
          <w:shd w:fill="FFFFFF" w:val="clear"/>
        </w:rPr>
        <w:t>к численности рабочей силы (на 1 января 2021 года – 2,1 процента), численность официально зарегистрированных безработных — 6,0 тыс. человек (12,8 тыс. человек).</w:t>
      </w:r>
    </w:p>
    <w:p>
      <w:pPr>
        <w:pStyle w:val="Normal"/>
        <w:ind w:firstLine="709"/>
        <w:jc w:val="both"/>
        <w:rPr>
          <w:shd w:fill="FFFFFF" w:val="clear"/>
        </w:rPr>
      </w:pPr>
      <w:r>
        <w:rPr>
          <w:sz w:val="28"/>
          <w:szCs w:val="28"/>
          <w:shd w:fill="FFFFFF" w:val="clear"/>
        </w:rPr>
        <w:t>На протяжении прогнозируемого периода уровень регистрируемой безработицы составит 0,9 - 0,8 процента к численности рабочей силы.</w:t>
      </w:r>
    </w:p>
    <w:p>
      <w:pPr>
        <w:pStyle w:val="Normal"/>
        <w:ind w:firstLine="709"/>
        <w:rPr>
          <w:shd w:fill="FFFFFF" w:val="clear"/>
        </w:rPr>
      </w:pPr>
      <w:r>
        <w:rPr/>
      </w:r>
    </w:p>
    <w:sectPr>
      <w:headerReference w:type="default" r:id="rId6"/>
      <w:footerReference w:type="default" r:id="rId7"/>
      <w:type w:val="nextPage"/>
      <w:pgSz w:w="11906" w:h="16838"/>
      <w:pgMar w:left="1701" w:right="850" w:header="567" w:top="1134" w:footer="567" w:bottom="1134"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Liberation Serif">
    <w:altName w:val="Times New Roman"/>
    <w:charset w:val="cc"/>
    <w:family w:val="swiss"/>
    <w:pitch w:val="variable"/>
  </w:font>
  <w:font w:name="Tahoma">
    <w:charset w:val="cc"/>
    <w:family w:val="roman"/>
    <w:pitch w:val="variable"/>
  </w:font>
  <w:font w:name="Liberation Sans">
    <w:altName w:val="Arial"/>
    <w:charset w:val="cc"/>
    <w:family w:val="roman"/>
    <w:pitch w:val="variable"/>
  </w:font>
  <w:font w:name="Calibri">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ind w:left="0" w:right="360" w:hanging="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1"/>
      <w:jc w:val="center"/>
      <w:rPr/>
    </w:pPr>
    <w:r>
      <w:rPr/>
      <w:fldChar w:fldCharType="begin"/>
    </w:r>
    <w:r>
      <w:rPr/>
      <w:instrText> PAGE </w:instrText>
    </w:r>
    <w:r>
      <w:rPr/>
      <w:fldChar w:fldCharType="separate"/>
    </w:r>
    <w:r>
      <w:rPr/>
      <w:t>27</w:t>
    </w:r>
    <w:r>
      <w:rPr/>
      <w:fldChar w:fldCharType="end"/>
    </w:r>
  </w:p>
  <w:p>
    <w:pPr>
      <w:pStyle w:val="Style21"/>
      <w:ind w:left="0" w:right="360" w:hanging="0"/>
      <w:rPr/>
    </w:pPr>
    <w:r>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1">
    <w:name w:val="Heading 1"/>
    <w:basedOn w:val="Normal"/>
    <w:next w:val="Normal"/>
    <w:qFormat/>
    <w:pPr>
      <w:keepNext w:val="true"/>
      <w:spacing w:before="240" w:after="60"/>
      <w:outlineLvl w:val="0"/>
    </w:pPr>
    <w:rPr>
      <w:rFonts w:ascii="Arial" w:hAnsi="Arial" w:cs="Arial"/>
      <w:b/>
      <w:bCs/>
      <w:kern w:val="2"/>
      <w:sz w:val="32"/>
      <w:szCs w:val="32"/>
    </w:rPr>
  </w:style>
  <w:style w:type="paragraph" w:styleId="2">
    <w:name w:val="Heading 2"/>
    <w:basedOn w:val="Normal"/>
    <w:next w:val="Normal"/>
    <w:qFormat/>
    <w:pPr>
      <w:keepNext w:val="true"/>
      <w:jc w:val="both"/>
      <w:outlineLvl w:val="1"/>
    </w:pPr>
    <w:rPr>
      <w:b/>
      <w:bCs/>
      <w:sz w:val="26"/>
    </w:rPr>
  </w:style>
  <w:style w:type="paragraph" w:styleId="3">
    <w:name w:val="Heading 3"/>
    <w:basedOn w:val="Normal"/>
    <w:next w:val="Normal"/>
    <w:qFormat/>
    <w:pPr>
      <w:keepNext w:val="true"/>
      <w:jc w:val="both"/>
      <w:outlineLvl w:val="2"/>
    </w:pPr>
    <w:rPr>
      <w:b/>
      <w:bCs/>
      <w:sz w:val="28"/>
    </w:rPr>
  </w:style>
  <w:style w:type="paragraph" w:styleId="6">
    <w:name w:val="Heading 6"/>
    <w:basedOn w:val="Style15"/>
    <w:next w:val="Style16"/>
    <w:qFormat/>
    <w:pPr>
      <w:spacing w:before="60" w:after="60"/>
      <w:outlineLvl w:val="5"/>
    </w:pPr>
    <w:rPr>
      <w:rFonts w:ascii="Liberation Serif" w:hAnsi="Liberation Serif" w:eastAsia="Segoe UI" w:cs="Tahoma"/>
      <w:b/>
      <w:bCs/>
      <w:sz w:val="14"/>
      <w:szCs w:val="14"/>
    </w:rPr>
  </w:style>
  <w:style w:type="character" w:styleId="DefaultParagraphFont">
    <w:name w:val="Default Paragraph Font"/>
    <w:qFormat/>
    <w:rPr/>
  </w:style>
  <w:style w:type="character" w:styleId="Pagenumber">
    <w:name w:val="page number"/>
    <w:basedOn w:val="DefaultParagraphFont"/>
    <w:qFormat/>
    <w:rPr/>
  </w:style>
  <w:style w:type="character" w:styleId="21">
    <w:name w:val="Основной текст 2 Знак"/>
    <w:basedOn w:val="DefaultParagraphFont"/>
    <w:qFormat/>
    <w:rPr>
      <w:b/>
      <w:bCs/>
      <w:sz w:val="26"/>
      <w:szCs w:val="24"/>
    </w:rPr>
  </w:style>
  <w:style w:type="character" w:styleId="FontStyle12">
    <w:name w:val="Font Style12"/>
    <w:qFormat/>
    <w:rPr>
      <w:rFonts w:ascii="Times New Roman" w:hAnsi="Times New Roman" w:cs="Times New Roman"/>
      <w:b/>
      <w:bCs/>
      <w:sz w:val="26"/>
      <w:szCs w:val="26"/>
    </w:rPr>
  </w:style>
  <w:style w:type="character" w:styleId="Appleconvertedspace">
    <w:name w:val="apple-converted-space"/>
    <w:qFormat/>
    <w:rPr/>
  </w:style>
  <w:style w:type="character" w:styleId="Style10">
    <w:name w:val="Обычный (веб) Знак"/>
    <w:qFormat/>
    <w:rPr>
      <w:sz w:val="24"/>
      <w:lang w:val="ru-RU"/>
    </w:rPr>
  </w:style>
  <w:style w:type="character" w:styleId="Nobr">
    <w:name w:val="nobr"/>
    <w:basedOn w:val="DefaultParagraphFont"/>
    <w:qFormat/>
    <w:rPr/>
  </w:style>
  <w:style w:type="character" w:styleId="ConsPlusNormal">
    <w:name w:val="ConsPlusNormal Знак"/>
    <w:qFormat/>
    <w:rPr>
      <w:sz w:val="28"/>
      <w:szCs w:val="28"/>
    </w:rPr>
  </w:style>
  <w:style w:type="character" w:styleId="Style11">
    <w:name w:val="Основной текст Знак"/>
    <w:basedOn w:val="DefaultParagraphFont"/>
    <w:qFormat/>
    <w:rPr>
      <w:sz w:val="32"/>
      <w:szCs w:val="24"/>
    </w:rPr>
  </w:style>
  <w:style w:type="character" w:styleId="Style12">
    <w:name w:val="Текст выноски Знак"/>
    <w:basedOn w:val="DefaultParagraphFont"/>
    <w:qFormat/>
    <w:rPr>
      <w:rFonts w:ascii="Tahoma" w:hAnsi="Tahoma" w:cs="Tahoma"/>
      <w:sz w:val="16"/>
      <w:szCs w:val="16"/>
    </w:rPr>
  </w:style>
  <w:style w:type="character" w:styleId="Extendedtextshort">
    <w:name w:val="extended-text__short"/>
    <w:basedOn w:val="DefaultParagraphFont"/>
    <w:qFormat/>
    <w:rPr/>
  </w:style>
  <w:style w:type="character" w:styleId="Style13">
    <w:name w:val="Верхний колонтитул Знак"/>
    <w:basedOn w:val="DefaultParagraphFont"/>
    <w:qFormat/>
    <w:rPr>
      <w:sz w:val="24"/>
      <w:szCs w:val="24"/>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jc w:val="both"/>
    </w:pPr>
    <w:rPr>
      <w:sz w:val="32"/>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BodyText2">
    <w:name w:val="Body Text 2"/>
    <w:basedOn w:val="Normal"/>
    <w:qFormat/>
    <w:pPr>
      <w:jc w:val="both"/>
    </w:pPr>
    <w:rPr>
      <w:b/>
      <w:bCs/>
      <w:sz w:val="26"/>
    </w:rPr>
  </w:style>
  <w:style w:type="paragraph" w:styleId="BodyText3">
    <w:name w:val="Body Text 3"/>
    <w:basedOn w:val="Normal"/>
    <w:qFormat/>
    <w:pPr>
      <w:jc w:val="both"/>
    </w:pPr>
    <w:rPr>
      <w:sz w:val="26"/>
    </w:rPr>
  </w:style>
  <w:style w:type="paragraph" w:styleId="Style20">
    <w:name w:val="Верхний и нижний колонтитулы"/>
    <w:basedOn w:val="Normal"/>
    <w:qFormat/>
    <w:pPr/>
    <w:rPr/>
  </w:style>
  <w:style w:type="paragraph" w:styleId="Style21">
    <w:name w:val="Header"/>
    <w:basedOn w:val="Normal"/>
    <w:pPr>
      <w:tabs>
        <w:tab w:val="clear" w:pos="708"/>
        <w:tab w:val="center" w:pos="4677" w:leader="none"/>
        <w:tab w:val="right" w:pos="9355" w:leader="none"/>
      </w:tabs>
    </w:pPr>
    <w:rPr/>
  </w:style>
  <w:style w:type="paragraph" w:styleId="Style22">
    <w:name w:val="Body Text Indent"/>
    <w:basedOn w:val="Normal"/>
    <w:pPr>
      <w:ind w:left="0" w:right="0" w:firstLine="540"/>
      <w:jc w:val="both"/>
    </w:pPr>
    <w:rPr>
      <w:sz w:val="26"/>
    </w:rPr>
  </w:style>
  <w:style w:type="paragraph" w:styleId="Style23">
    <w:name w:val="Footer"/>
    <w:basedOn w:val="Normal"/>
    <w:pPr>
      <w:tabs>
        <w:tab w:val="clear" w:pos="708"/>
        <w:tab w:val="center" w:pos="4677" w:leader="none"/>
        <w:tab w:val="right" w:pos="9355" w:leader="none"/>
      </w:tabs>
    </w:pPr>
    <w:rPr/>
  </w:style>
  <w:style w:type="paragraph" w:styleId="BodyTextIndent2">
    <w:name w:val="Body Text Indent 2"/>
    <w:basedOn w:val="Normal"/>
    <w:qFormat/>
    <w:pPr>
      <w:ind w:left="0" w:right="0" w:firstLine="708"/>
      <w:jc w:val="both"/>
    </w:pPr>
    <w:rPr>
      <w:sz w:val="26"/>
    </w:rPr>
  </w:style>
  <w:style w:type="paragraph" w:styleId="Style24">
    <w:name w:v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NormalWeb">
    <w:name w:val="Normal (Web)"/>
    <w:basedOn w:val="Normal"/>
    <w:qFormat/>
    <w:pPr>
      <w:spacing w:before="280" w:after="280"/>
    </w:pPr>
    <w:rPr/>
  </w:style>
  <w:style w:type="paragraph" w:styleId="ConsPlusNormal1">
    <w:name w:val="ConsPlus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ListParagraph">
    <w:name w:val="List Paragraph"/>
    <w:basedOn w:val="Normal"/>
    <w:qFormat/>
    <w:pPr>
      <w:spacing w:before="0" w:after="0"/>
      <w:ind w:left="720" w:right="0" w:hanging="0"/>
      <w:contextualSpacing/>
    </w:pPr>
    <w:rPr>
      <w:sz w:val="28"/>
      <w:szCs w:val="20"/>
    </w:rPr>
  </w:style>
  <w:style w:type="paragraph" w:styleId="211">
    <w:name w:val="Основной текст с отступом 21"/>
    <w:basedOn w:val="Normal"/>
    <w:qFormat/>
    <w:pPr>
      <w:suppressAutoHyphens w:val="true"/>
      <w:spacing w:before="0" w:after="120"/>
      <w:ind w:left="0" w:right="0" w:firstLine="720"/>
      <w:jc w:val="center"/>
    </w:pPr>
    <w:rPr>
      <w:b/>
      <w:sz w:val="28"/>
      <w:szCs w:val="20"/>
      <w:lang w:eastAsia="ar-SA"/>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NoSpacing">
    <w:name w:val="No Spacing"/>
    <w:qFormat/>
    <w:pPr>
      <w:widowControl/>
      <w:suppressAutoHyphens w:val="true"/>
      <w:overflowPunct w:val="false"/>
      <w:bidi w:val="0"/>
      <w:spacing w:before="0" w:after="0"/>
      <w:jc w:val="left"/>
    </w:pPr>
    <w:rPr>
      <w:rFonts w:ascii="Calibri" w:hAnsi="Calibri" w:eastAsia="Calibri" w:cs="Times New Roman"/>
      <w:color w:val="auto"/>
      <w:kern w:val="0"/>
      <w:sz w:val="22"/>
      <w:szCs w:val="22"/>
      <w:lang w:val="ru-RU" w:eastAsia="en-US" w:bidi="ar-SA"/>
    </w:rPr>
  </w:style>
  <w:style w:type="paragraph" w:styleId="BalloonText">
    <w:name w:val="Balloon Text"/>
    <w:basedOn w:val="Normal"/>
    <w:qFormat/>
    <w:pPr/>
    <w:rPr>
      <w:rFonts w:ascii="Tahoma" w:hAnsi="Tahoma" w:cs="Tahoma"/>
      <w:sz w:val="16"/>
      <w:szCs w:val="16"/>
    </w:rPr>
  </w:style>
  <w:style w:type="paragraph" w:styleId="Style25">
    <w:name w:val="Содержимое врезки"/>
    <w:basedOn w:val="Normal"/>
    <w:qFormat/>
    <w:pPr/>
    <w:rPr/>
  </w:style>
  <w:style w:type="paragraph" w:styleId="Style26">
    <w:name w:val="Содержимое таблицы"/>
    <w:basedOn w:val="Normal"/>
    <w:qFormat/>
    <w:pPr>
      <w:widowControl w:val="false"/>
      <w:suppressLineNumbers/>
    </w:pPr>
    <w:rPr/>
  </w:style>
  <w:style w:type="paragraph" w:styleId="22">
    <w:name w:val="Основной текст с отступом 2"/>
    <w:basedOn w:val="Normal"/>
    <w:qFormat/>
    <w:pPr>
      <w:ind w:firstLine="705"/>
    </w:pPr>
    <w:rPr>
      <w:sz w:val="28"/>
    </w:rPr>
  </w:style>
  <w:style w:type="paragraph" w:styleId="31">
    <w:name w:val="Основной текст с отступом 3"/>
    <w:basedOn w:val="Normal"/>
    <w:qFormat/>
    <w:pPr>
      <w:spacing w:before="0" w:after="120"/>
      <w:ind w:left="283" w:right="0" w:hanging="0"/>
    </w:pPr>
    <w:rPr>
      <w:sz w:val="16"/>
      <w:szCs w:val="16"/>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336DEFA52A0EDAF0FA631F4E2F54670CAEB035CA572D8CD668674336567A1FF786AFE2F65332C6E68A5E11RCp0L" TargetMode="External"/><Relationship Id="rId3" Type="http://schemas.openxmlformats.org/officeDocument/2006/relationships/hyperlink" Target="http://www.econom32.ru/activity/nat_project/akseleraciya-subektov-malogo-i-srednego-predprinimatelstva/" TargetMode="External"/><Relationship Id="rId4" Type="http://schemas.openxmlformats.org/officeDocument/2006/relationships/hyperlink" Target="http://www.econom32.ru/activity/nat_project/populyarizaciya-predprinimatelstva/" TargetMode="External"/><Relationship Id="rId5" Type="http://schemas.openxmlformats.org/officeDocument/2006/relationships/hyperlink" Target="http://www.econom32.ru/activity/nat_project/rasshirenie-dostupa-subektov-malogo-i-srednego-predprinimatelstva-k-finansovym-resursam-v-tom-chisle-k-lgotnomu-finansirovaniyu/"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4473</TotalTime>
  <Application>LibreOffice/7.0.4.2$Windows_X86_64 LibreOffice_project/dcf040e67528d9187c66b2379df5ea4407429775</Application>
  <AppVersion>15.0000</AppVersion>
  <Pages>27</Pages>
  <Words>8892</Words>
  <Characters>61069</Characters>
  <CharactersWithSpaces>70082</CharactersWithSpaces>
  <Paragraphs>250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2020-06-18T06:43:00Z</dcterms:created>
  <dc:creator>Тябин К.В.</dc:creator>
  <dc:description/>
  <dc:language>ru-RU</dc:language>
  <cp:lastModifiedBy/>
  <cp:lastPrinted>2021-10-25T09:54:37Z</cp:lastPrinted>
  <dcterms:modified xsi:type="dcterms:W3CDTF">2021-10-28T10:43:08Z</dcterms:modified>
  <cp:revision>566</cp:revision>
  <dc:subject/>
  <dc:title>Структура  ежемесячной аналитической записки субъекта Российской Федерации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